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7AE6" w:rsidRDefault="004F7AE6">
      <w:pPr>
        <w:rPr>
          <w:rtl/>
        </w:rPr>
      </w:pPr>
    </w:p>
    <w:p w:rsidR="004F7AE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02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020" inset="0,0,0,0">
              <w:txbxContent>
                <w:p w:rsidR="00562AFE" w:rsidRDefault="00562AFE">
                  <w:r>
                    <w:rPr>
                      <w:rtl/>
                    </w:rPr>
                    <w:t>151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21" o:spid="_x0000_s1026" type="#_x0000_t202" style="position:absolute;left:0;text-align:left;margin-left:168.35pt;margin-top:690.7pt;width:398.55pt;height:59.4pt;z-index:3;mso-position-horizontal-relative:page;mso-position-vertical-relative:page" stroked="f">
            <v:textbox style="mso-next-textbox:#_x0000_s41021" inset="0,0,0,0">
              <w:txbxContent>
                <w:p w:rsidR="00562AFE" w:rsidRDefault="00562AFE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באדר ב' התשנ''ב (18 במרס 1992); הצעת החוק ודברי הסבר פורסמו בהצעות חוק 2074, מיום</w:t>
                  </w:r>
                </w:p>
                <w:p w:rsidR="00562AFE" w:rsidRDefault="00562AFE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י"א באב התשנ"א (22 ביולי 1991), בעמ' 358.</w:t>
                  </w:r>
                </w:p>
                <w:p w:rsidR="00562AFE" w:rsidRPr="004F7AE6" w:rsidRDefault="00562AFE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1 דיני מדינת ישראל, נוסח חדש 37, עמ' 761: ס''ח התשנ"א, עמ' 216.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22" o:spid="_x0000_s1027" type="#_x0000_t202" style="position:absolute;left:0;text-align:left;margin-left:115.9pt;margin-top:601.2pt;width:450.25pt;height:89.3pt;z-index:2;mso-position-horizontal-relative:page;mso-position-vertical-relative:page" stroked="f">
            <v:textbox style="mso-next-textbox:#_x0000_s4102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2"/>
                    <w:gridCol w:w="6925"/>
                  </w:tblGrid>
                  <w:tr w:rsidR="00562AFE" w:rsidRPr="004F7AE6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562AFE" w:rsidRPr="004F7AE6" w:rsidRDefault="00562A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96כד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562AFE" w:rsidRDefault="00562A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96כד לפקודת החברות [נוסח חדש], התשמ"ג-1983 (1(להלן - הפקודה), אחרי</w:t>
                        </w:r>
                      </w:p>
                      <w:p w:rsidR="00562AFE" w:rsidRDefault="00562A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''ענין אישי'' יבוא:</w:t>
                        </w:r>
                      </w:p>
                      <w:p w:rsidR="00562AFE" w:rsidRDefault="00562A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''"עיסקה חריגה" - עיסקה שאינה- במהלך העסקים הרגיל של החברה, או עיסקה שאינה</w:t>
                        </w:r>
                      </w:p>
                      <w:p w:rsidR="00562AFE" w:rsidRDefault="00562A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שוק, או עיסקה העשויה להשפיע באופן מהותי על רווחיות התאגיד, רכושו או</w:t>
                        </w:r>
                      </w:p>
                      <w:p w:rsidR="00562AFE" w:rsidRPr="004F7AE6" w:rsidRDefault="00562A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התחייבויותיו;'/</w:t>
                        </w:r>
                      </w:p>
                    </w:tc>
                  </w:tr>
                </w:tbl>
                <w:p w:rsidR="00562AFE" w:rsidRDefault="00562A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23" o:spid="_x0000_s1028" type="#_x0000_t202" style="position:absolute;left:0;text-align:left;margin-left:230.35pt;margin-top:580.4pt;width:323.75pt;height:20.6pt;z-index:1;mso-position-horizontal-relative:page;mso-position-vertical-relative:page" stroked="f">
            <v:textbox style="mso-next-textbox:#_x0000_s41023" inset="0,0,0,0">
              <w:txbxContent>
                <w:p w:rsidR="00562AFE" w:rsidRPr="004F7AE6" w:rsidRDefault="00562AFE">
                  <w:pPr>
                    <w:pStyle w:val="OCRStyle1"/>
                    <w:ind w:left="749"/>
                    <w:rPr>
                      <w:sz w:val="24"/>
                      <w:szCs w:val="24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החברות (מס' 7), התשנ"ב-9921*</w:t>
                  </w:r>
                </w:p>
              </w:txbxContent>
            </v:textbox>
            <w10:wrap anchorx="page" anchory="page"/>
          </v:shape>
        </w:pict>
      </w:r>
    </w:p>
    <w:p w:rsidR="001C2CDB" w:rsidRDefault="001C2CDB">
      <w:pPr>
        <w:rPr>
          <w:rtl/>
        </w:rPr>
      </w:pPr>
      <w:r>
        <w:rPr>
          <w:rtl/>
        </w:rPr>
        <w:br w:type="page"/>
      </w:r>
    </w:p>
    <w:p w:rsidR="001C2CDB" w:rsidRDefault="00000000">
      <w:pPr>
        <w:rPr>
          <w:rtl/>
        </w:rPr>
      </w:pPr>
      <w:r>
        <w:pict>
          <v:shape id="_x0000_s4102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1024" inset="0,0,0,0">
              <w:txbxContent>
                <w:p w:rsidR="00562AFE" w:rsidRDefault="00562AFE">
                  <w:r>
                    <w:rPr>
                      <w:rtl/>
                    </w:rPr>
                    <w:t>152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25" o:spid="_x0000_s1030" type="#_x0000_t202" style="position:absolute;left:0;text-align:left;margin-left:81.55pt;margin-top:735.7pt;width:200.55pt;height:18pt;z-index:6;mso-position-horizontal-relative:page;mso-position-vertical-relative:page" stroked="f">
            <v:textbox style="mso-next-textbox:#_x0000_s41025" inset="0,0,0,0">
              <w:txbxContent>
                <w:p w:rsidR="00562AFE" w:rsidRDefault="00562AF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1026" o:spid="_x0000_s1031" type="#_x0000_t202" style="position:absolute;left:0;text-align:left;margin-left:80.75pt;margin-top:77.95pt;width:456.2pt;height:651.8pt;z-index:5;mso-position-horizontal-relative:page;mso-position-vertical-relative:page" stroked="f">
            <v:textbox style="mso-next-textbox:#_x0000_s4102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08"/>
                    <w:gridCol w:w="1486"/>
                  </w:tblGrid>
                  <w:tr w:rsidR="00562AFE" w:rsidRPr="001C2CDB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96כט לפקודו- יסומן (א), ואחריו יבוא: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חובת הגילוי כאמור בסעיף קטן (א), לא תחול כאשר ענינו האישי של נושא</w:t>
                        </w:r>
                      </w:p>
                      <w:p w:rsidR="00562AFE" w:rsidRPr="001C2CDB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המשרד, נובע רק מקיום ענין אישי של קרובו בעיסקה שאינה חריגה."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62AFE" w:rsidRPr="001C2CDB" w:rsidRDefault="00562A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96כט</w:t>
                        </w:r>
                      </w:p>
                    </w:tc>
                  </w:tr>
                  <w:tr w:rsidR="00562AFE" w:rsidRPr="001C2CDB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562AFE" w:rsidRDefault="00562A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האמור בסעיף 96ל לפקודה יסומן (א) ובו, במקום "בהתאם לקבוע בסעיפים 96לג ו-96לו",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"בהתאם לקבוע בתקנונה", ואחריו יבוא: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התקשרות החברה עם אחר בעיסקה חריגה טעונה כנוסף לאמור בסעיף קטן (א),</w:t>
                        </w:r>
                      </w:p>
                      <w:p w:rsidR="00562AFE" w:rsidRPr="001C2CDB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אישור בהתאם לקבוע בסעיפים 96לג ו-96לו."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62AFE" w:rsidRPr="001C2CDB" w:rsidRDefault="00562A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96ל</w:t>
                        </w:r>
                      </w:p>
                    </w:tc>
                  </w:tr>
                  <w:tr w:rsidR="00562AFE" w:rsidRPr="001C2CDB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562AFE" w:rsidRDefault="00562A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96לא כמקום סעיף קטן (ב) יבוא: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חברה רשאית לאשר את התקשרותה עם נושא משרה בהתאם לקבוע בתקנונה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שנושא המשרה פועל בתום לב וההתקשרות אינה פוגעת בטובת החברה: היתה</w:t>
                        </w:r>
                      </w:p>
                      <w:p w:rsidR="00562AFE" w:rsidRPr="001C2CDB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העיסקה חריגה, טעונה היא גם אישור בהתאם לקבוע בסעיפים 96לג ו-96לו."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62AFE" w:rsidRPr="001C2CDB" w:rsidRDefault="00562A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96לא</w:t>
                        </w:r>
                      </w:p>
                    </w:tc>
                  </w:tr>
                  <w:tr w:rsidR="00562AFE" w:rsidRPr="001C2CDB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562AFE" w:rsidRDefault="00562A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96לג, במקום "בסעיף 96ל" יבוא "בסעיף 96ל(כ)" וכמקום "בסעיף 96לא" יבוא</w:t>
                        </w:r>
                      </w:p>
                      <w:p w:rsidR="00562AFE" w:rsidRPr="001C2CDB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"בסעיף 96לא(ב) סיפה".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62AFE" w:rsidRPr="001C2CDB" w:rsidRDefault="00562A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96לג</w:t>
                        </w:r>
                      </w:p>
                    </w:tc>
                  </w:tr>
                  <w:tr w:rsidR="00562AFE" w:rsidRPr="001C2CDB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562AFE" w:rsidRDefault="00562A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96לד, במקום סעיף קטן (א) יבוא: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תנאי כהונתו של דירקטור, לרבות תנאי העסקתו כנושא משרה אחרת או בתפקיד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טעונים אישורם של כל אלה: ועדת הביקורת, ולאחריה הדירקטוריון ולאחר מכן</w:t>
                        </w:r>
                      </w:p>
                      <w:p w:rsidR="00562AFE" w:rsidRPr="001C2CDB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האסיפה הכללית."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62AFE" w:rsidRPr="001C2CDB" w:rsidRDefault="00562A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96לד</w:t>
                        </w:r>
                      </w:p>
                    </w:tc>
                  </w:tr>
                  <w:tr w:rsidR="00562AFE" w:rsidRPr="001C2CDB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562AFE" w:rsidRDefault="00562A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בסעיף 96לו לפקודה -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בו יסומן (א) ובו, אחרי המלים "רוב בעלי המניות" יבוא "הנוכחים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בהצבעה", במקום "מחצית" יבוא "שליש" ואחרי "בהתקשרות כאמור" יבוא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"הנוכחים בהצבעה".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נכחו באסיפה כאמור בסעיף קטן (א) בעלי מניות שאינם בעלי ענין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 בפעולה או בהתקשרות כאמור, רשאית החברה לאשר את הפעולה או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ההתקשרות באסיפה נדחית, בהסכמת רוב בעלי המניות הנוכחים בהצבעה,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במנין קולות.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החזיקו רוב חברי הדירקטוריון בחברה כהגדרתה בסעיף 96א, בעשרים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וחמישה אחוזים או יותר מאמצעי השליטה בחברה במצטבר, טעונה פעולה או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התקשרות שלרוב חברי הדירקטוריון יש ענין אישי בה, בנוסף על האמור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96לג ו-96לד, גם אישור בהתאם לקבוע בסעיפים קטנים (א) או (ב).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בהודעה על כינוס אסיפה כללית או אסיפה נדחית לענין אישור פעולות או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עיסקאות בהתאם להוראות סעיף זה ייכללו פרטים בדבר מהות העיסקה; שר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בהתייעצות עם שר האוצר, רשאי לקבוע תקנות לעניו פרסים שיש</w:t>
                        </w:r>
                      </w:p>
                      <w:p w:rsidR="00562AFE" w:rsidRPr="001C2CDB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לכלול בהודעה לענין סעיף זה."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62AFE" w:rsidRPr="001C2CDB" w:rsidRDefault="00562A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96לו</w:t>
                        </w:r>
                      </w:p>
                    </w:tc>
                  </w:tr>
                  <w:tr w:rsidR="00562AFE" w:rsidRPr="001C2CDB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562AFE" w:rsidRDefault="00562A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96מז לפקודה יבוא:</w:t>
                        </w:r>
                      </w:p>
                      <w:p w:rsidR="00562AFE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"הודעות 96מז. (א) חברה כמשמעותה בסעיף 96א תודיע על ההחלטות הפנויות</w:t>
                        </w:r>
                      </w:p>
                      <w:p w:rsidR="00562AFE" w:rsidRPr="001C2CDB" w:rsidRDefault="00562A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(כ) (להלן - החלטות החברה), בדו''ח לפי סעיף 36 לחוק ניירות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62AFE" w:rsidRPr="001C2CDB" w:rsidRDefault="00562A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96מז</w:t>
                        </w:r>
                      </w:p>
                    </w:tc>
                  </w:tr>
                </w:tbl>
                <w:p w:rsidR="00562AFE" w:rsidRDefault="00562AF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62AFE" w:rsidRDefault="00562AFE">
      <w:pPr>
        <w:rPr>
          <w:rtl/>
        </w:rPr>
      </w:pPr>
      <w:r>
        <w:rPr>
          <w:rtl/>
        </w:rPr>
        <w:br w:type="page"/>
      </w:r>
    </w:p>
    <w:p w:rsidR="00562AFE" w:rsidRDefault="00000000">
      <w:pPr>
        <w:rPr>
          <w:rtl/>
        </w:rPr>
      </w:pPr>
      <w:r>
        <w:pict>
          <v:shape id="_x0000_s41027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1027" inset="0,0,0,0">
              <w:txbxContent>
                <w:p w:rsidR="00562AFE" w:rsidRDefault="00562AFE">
                  <w:r>
                    <w:rPr>
                      <w:rtl/>
                    </w:rPr>
                    <w:t>153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28" o:spid="_x0000_s1033" type="#_x0000_t202" style="position:absolute;left:0;text-align:left;margin-left:450.55pt;margin-top:517.7pt;width:108.5pt;height:17.25pt;z-index:13;mso-position-horizontal-relative:page;mso-position-vertical-relative:page" stroked="f">
            <v:textbox style="mso-next-textbox:#_x0000_s41028" inset="0,0,0,0">
              <w:txbxContent>
                <w:p w:rsidR="00562AFE" w:rsidRPr="00562AFE" w:rsidRDefault="00562AFE">
                  <w:pPr>
                    <w:pStyle w:val="OCRStyle3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התשל"ה, עמ' 158.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29" o:spid="_x0000_s1034" type="#_x0000_t202" style="position:absolute;left:0;text-align:left;margin-left:161.25pt;margin-top:448pt;width:100.8pt;height:30.1pt;z-index:12;mso-position-horizontal-relative:page;mso-position-vertical-relative:page" stroked="f">
            <v:textbox style="mso-next-textbox:#_x0000_s41029" inset="0,0,0,0">
              <w:txbxContent>
                <w:p w:rsidR="00562AFE" w:rsidRDefault="00562AFE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562AFE" w:rsidRDefault="00562AFE">
                  <w:pPr>
                    <w:pStyle w:val="OCRStyle3"/>
                    <w:ind w:left="15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30" o:spid="_x0000_s1035" type="#_x0000_t202" style="position:absolute;left:0;text-align:left;margin-left:267.2pt;margin-top:472.95pt;width:91.3pt;height:30.9pt;z-index:11;mso-position-horizontal-relative:page;mso-position-vertical-relative:page" stroked="f">
            <v:textbox style="mso-next-textbox:#_x0000_s41030" inset="0,0,0,0">
              <w:txbxContent>
                <w:p w:rsidR="00562AFE" w:rsidRDefault="00562AFE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62AFE" w:rsidRDefault="00562AFE">
                  <w:pPr>
                    <w:pStyle w:val="OCRStyle3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31" o:spid="_x0000_s1036" type="#_x0000_t202" style="position:absolute;left:0;text-align:left;margin-left:460.85pt;margin-top:476.35pt;width:90.5pt;height:29.3pt;z-index:10;mso-position-horizontal-relative:page;mso-position-vertical-relative:page" stroked="f">
            <v:textbox style="mso-next-textbox:#_x0000_s41031" inset="0,0,0,0">
              <w:txbxContent>
                <w:p w:rsidR="00562AFE" w:rsidRDefault="00562AFE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62AFE" w:rsidRDefault="00562AFE">
                  <w:pPr>
                    <w:pStyle w:val="OCRStyle3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32" o:spid="_x0000_s1037" type="#_x0000_t202" style="position:absolute;left:0;text-align:left;margin-left:365.4pt;margin-top:450.6pt;width:96.45pt;height:25.55pt;z-index:9;mso-position-horizontal-relative:page;mso-position-vertical-relative:page" stroked="f">
            <v:textbox style="mso-next-textbox:#_x0000_s41032" inset="0,0,0,0">
              <w:txbxContent>
                <w:p w:rsidR="00562AFE" w:rsidRDefault="00562AFE">
                  <w:pPr>
                    <w:pStyle w:val="OCRStyle3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62AFE" w:rsidRDefault="00562AFE">
                  <w:pPr>
                    <w:pStyle w:val="OCRStyle3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33" o:spid="_x0000_s1038" type="#_x0000_t202" style="position:absolute;left:0;text-align:left;margin-left:168.2pt;margin-top:80.35pt;width:343.55pt;height:357.4pt;z-index:8;mso-position-horizontal-relative:page;mso-position-vertical-relative:page" stroked="f">
            <v:textbox style="mso-next-textbox:#_x0000_s41033" inset="0,0,0,0">
              <w:txbxContent>
                <w:p w:rsidR="00562AFE" w:rsidRDefault="00562AFE">
                  <w:pPr>
                    <w:pStyle w:val="OCRStyle3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ערך, התשכ"ח-1968 (להלן - חוק ניירות ערך); והוראות סעיף 38 לחוק</w:t>
                  </w:r>
                </w:p>
                <w:p w:rsidR="00562AFE" w:rsidRDefault="00562AFE">
                  <w:pPr>
                    <w:pStyle w:val="OCRStyle3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האמור יחולו לענין הודעות אלה בשינויים המחויבים.</w:t>
                  </w:r>
                </w:p>
                <w:p w:rsidR="00562AFE" w:rsidRDefault="00562AFE">
                  <w:pPr>
                    <w:pStyle w:val="OCRStyle3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(ב) ואלה החלטות החברה:</w:t>
                  </w:r>
                </w:p>
                <w:p w:rsidR="00562AFE" w:rsidRDefault="00562AFE">
                  <w:pPr>
                    <w:pStyle w:val="OCRStyle3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(1) החלטה המאשרת פעולה של נושא משרה שיש בה משום</w:t>
                  </w:r>
                </w:p>
                <w:p w:rsidR="00562AFE" w:rsidRDefault="00562AFE">
                  <w:pPr>
                    <w:pStyle w:val="OCRStyle3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הפרת חובת אמונים לפי הוראות סעיף 96כח;</w:t>
                  </w:r>
                </w:p>
                <w:p w:rsidR="00562AFE" w:rsidRDefault="00562AFE">
                  <w:pPr>
                    <w:pStyle w:val="OCRStyle3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(2) החלטה המאשרת התקשרות החברה עם אדם אחר בעיסקה</w:t>
                  </w:r>
                </w:p>
                <w:p w:rsidR="00562AFE" w:rsidRDefault="00562AFE">
                  <w:pPr>
                    <w:pStyle w:val="OCRStyle3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חריגה, כאמור בסעיף 96ל(ב);</w:t>
                  </w:r>
                </w:p>
                <w:p w:rsidR="00562AFE" w:rsidRDefault="00562AFE">
                  <w:pPr>
                    <w:pStyle w:val="OCRStyle3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(3) החלטה המאשרת התקשרות החברה עם נושא משרה בעיסקה</w:t>
                  </w:r>
                </w:p>
                <w:p w:rsidR="00562AFE" w:rsidRDefault="00562AFE">
                  <w:pPr>
                    <w:pStyle w:val="OCRStyle3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חריגה כאמור בסעיף 96לא(ב);</w:t>
                  </w:r>
                </w:p>
                <w:p w:rsidR="00562AFE" w:rsidRDefault="00562AFE">
                  <w:pPr>
                    <w:pStyle w:val="OCRStyle3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(4) החלטה על שיפוי נושא משרה לפי הוראות סעיף 96מג.</w:t>
                  </w:r>
                </w:p>
                <w:p w:rsidR="00562AFE" w:rsidRDefault="00562AFE">
                  <w:pPr>
                    <w:pStyle w:val="OCRStyle3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(ג) חברה כמשמעותה בסעיף 96א תודיע על החלטות אחרות שאושרו</w:t>
                  </w:r>
                </w:p>
                <w:p w:rsidR="00562AFE" w:rsidRDefault="00562AFE">
                  <w:pPr>
                    <w:pStyle w:val="OCRStyle3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בהתאם לקבוע בסימן זה, בהודעה שתוגש לפי הקבוע בסעיף 36 לחוק ניירות</w:t>
                  </w:r>
                </w:p>
                <w:p w:rsidR="00562AFE" w:rsidRDefault="00562AFE">
                  <w:pPr>
                    <w:pStyle w:val="OCRStyle3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ערך; הודעה כאמור תוגש אחת לשלושה חדשים, והוראות סעיף 38 לחוק</w:t>
                  </w:r>
                </w:p>
                <w:p w:rsidR="00562AFE" w:rsidRDefault="00562AFE">
                  <w:pPr>
                    <w:pStyle w:val="OCRStyle3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האמור יחולו לענין הודעות אלה בשינויים המחויבים.</w:t>
                  </w:r>
                </w:p>
                <w:p w:rsidR="00562AFE" w:rsidRDefault="00562AFE">
                  <w:pPr>
                    <w:pStyle w:val="OCRStyle3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(ד) חברה ממשלתית כהגדרתה בחוק החברות הממשלתיות, התשל"ה-</w:t>
                  </w:r>
                </w:p>
                <w:p w:rsidR="00562AFE" w:rsidRDefault="00562AFE">
                  <w:pPr>
                    <w:pStyle w:val="OCRStyle3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1975 2, תודיע יעל החלטות החברה כאמור בסעיף קטן (ב) בהתאם לקבוע</w:t>
                  </w:r>
                </w:p>
                <w:p w:rsidR="00562AFE" w:rsidRDefault="00562AFE">
                  <w:pPr>
                    <w:pStyle w:val="OCRStyle3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בסעיף 34(א&gt;(3&gt; לחוק החברות הממשלתיות, התשל''ה-1975, לענין פרוטוקו-</w:t>
                  </w:r>
                </w:p>
                <w:p w:rsidR="00562AFE" w:rsidRDefault="00562AFE">
                  <w:pPr>
                    <w:pStyle w:val="OCRStyle3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לים; היתה חברה ממשלתית גם חברה כמשמעותה בסעיף 96א יחול עליה גם</w:t>
                  </w:r>
                </w:p>
                <w:p w:rsidR="00562AFE" w:rsidRDefault="00562AFE">
                  <w:pPr>
                    <w:pStyle w:val="OCRStyle3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האמור בסעיפים קטנים (א) עד (ג).</w:t>
                  </w:r>
                </w:p>
                <w:p w:rsidR="00562AFE" w:rsidRDefault="00562AFE">
                  <w:pPr>
                    <w:pStyle w:val="OCRStyle3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(ה) שר המשפטים רשאי לקבוע בתקנות הוראות בדבר משלוח הודעות</w:t>
                  </w:r>
                </w:p>
                <w:p w:rsidR="00562AFE" w:rsidRDefault="00562AFE">
                  <w:pPr>
                    <w:pStyle w:val="OCRStyle3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לרשם החברות על החלטות חברה המנויות בסעיף קטן (ב) לגבי חברה שסעיף</w:t>
                  </w:r>
                </w:p>
                <w:p w:rsidR="00562AFE" w:rsidRPr="00562AFE" w:rsidRDefault="00562AFE">
                  <w:pPr>
                    <w:pStyle w:val="OCRStyle3"/>
                    <w:ind w:left="583"/>
                  </w:pPr>
                  <w:r>
                    <w:rPr>
                      <w:rtl/>
                    </w:rPr>
                    <w:t>96א לא חל עליה."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F7AE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1067584-4254-4B81-94D9-DDDEE957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7AE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C2CD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62AF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2008-04-07T13:04:00Z</dcterms:created>
  <dcterms:modified xsi:type="dcterms:W3CDTF">2008-04-07T13:04:00Z</dcterms:modified>
</cp:coreProperties>
</file>