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66EC1" w:rsidRDefault="00166EC1">
      <w:pPr>
        <w:rPr>
          <w:rtl/>
        </w:rPr>
      </w:pPr>
    </w:p>
    <w:p w:rsidR="00166EC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156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156" inset="0,0,0,0">
              <w:txbxContent>
                <w:p w:rsidR="00166EC1" w:rsidRDefault="00166EC1">
                  <w:r>
                    <w:rPr>
                      <w:rtl/>
                    </w:rPr>
                    <w:t>187                                         ספר החוקים 1432                    כ"ו באב התשנ"ג 13.08.1993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57" o:spid="_x0000_s1026" type="#_x0000_t202" style="position:absolute;left:0;text-align:left;margin-left:369.6pt;margin-top:721.6pt;width:168.7pt;height:24.95pt;z-index:8;mso-position-horizontal-relative:page;mso-position-vertical-relative:page" stroked="f">
            <v:textbox style="mso-next-textbox:#_x0000_s41157" inset="0,0,0,0">
              <w:txbxContent>
                <w:p w:rsidR="00166EC1" w:rsidRDefault="00166E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58" o:spid="_x0000_s1027" type="#_x0000_t202" style="position:absolute;left:0;text-align:left;margin-left:147.45pt;margin-top:483.05pt;width:394.2pt;height:52.65pt;z-index:7;mso-position-horizontal-relative:page;mso-position-vertical-relative:page" stroked="f">
            <v:textbox style="mso-next-textbox:#_x0000_s41158" inset="0,0,0,0">
              <w:txbxContent>
                <w:p w:rsidR="00166EC1" w:rsidRDefault="00166EC1">
                  <w:pPr>
                    <w:pStyle w:val="OCRStyle1"/>
                    <w:ind w:left="446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ט''ז באב התשנ''ג (5 באוגוסט 1993): הצעת החוק ודברי הסבר פורסמו בהצעות חוק 2173,</w:t>
                  </w:r>
                </w:p>
                <w:p w:rsidR="00166EC1" w:rsidRDefault="00166EC1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מיום כ''ט באדר התשנ'ג (22 במרס 1993), עמ' 124.</w:t>
                  </w:r>
                </w:p>
                <w:p w:rsidR="00166EC1" w:rsidRDefault="00166EC1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1 ס''ח התשמ''ב, עמ' 218; התשנ"ג, עמ' 19.</w:t>
                  </w:r>
                </w:p>
                <w:p w:rsidR="00166EC1" w:rsidRPr="00166EC1" w:rsidRDefault="00166EC1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2 ס''ח התשל''ז, עמ' .226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59" o:spid="_x0000_s1028" type="#_x0000_t202" style="position:absolute;left:0;text-align:left;margin-left:162.1pt;margin-top:385pt;width:95.65pt;height:36.05pt;z-index:6;mso-position-horizontal-relative:page;mso-position-vertical-relative:page" stroked="f">
            <v:textbox style="mso-next-textbox:#_x0000_s41159" inset="0,0,0,0">
              <w:txbxContent>
                <w:p w:rsidR="00166EC1" w:rsidRDefault="00166EC1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שולמית אלוני</w:t>
                  </w:r>
                </w:p>
                <w:p w:rsidR="00166EC1" w:rsidRDefault="00166EC1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שרת התקשורת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60" o:spid="_x0000_s1029" type="#_x0000_t202" style="position:absolute;left:0;text-align:left;margin-left:264.5pt;margin-top:415.9pt;width:75.85pt;height:32.85pt;z-index:5;mso-position-horizontal-relative:page;mso-position-vertical-relative:page" stroked="f">
            <v:textbox style="mso-next-textbox:#_x0000_s41160" inset="0,0,0,0">
              <w:txbxContent>
                <w:p w:rsidR="00166EC1" w:rsidRDefault="00166EC1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166EC1" w:rsidRDefault="00166EC1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61" o:spid="_x0000_s1030" type="#_x0000_t202" style="position:absolute;left:0;text-align:left;margin-left:443.65pt;margin-top:415.9pt;width:74.05pt;height:32.85pt;z-index:4;mso-position-horizontal-relative:page;mso-position-vertical-relative:page" stroked="f">
            <v:textbox style="mso-next-textbox:#_x0000_s41161" inset="0,0,0,0">
              <w:txbxContent>
                <w:p w:rsidR="00166EC1" w:rsidRDefault="00166EC1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166EC1" w:rsidRDefault="00166EC1">
                  <w:pPr>
                    <w:pStyle w:val="OCRStyle1"/>
                    <w:ind w:left="27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62" o:spid="_x0000_s1031" type="#_x0000_t202" style="position:absolute;left:0;text-align:left;margin-left:353.2pt;margin-top:385pt;width:72.25pt;height:30.9pt;z-index:3;mso-position-horizontal-relative:page;mso-position-vertical-relative:page" stroked="f">
            <v:textbox style="mso-next-textbox:#_x0000_s41162" inset="0,0,0,0">
              <w:txbxContent>
                <w:p w:rsidR="00166EC1" w:rsidRDefault="00166EC1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166EC1" w:rsidRDefault="00166EC1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163" o:spid="_x0000_s1032" type="#_x0000_t202" style="position:absolute;left:0;text-align:left;margin-left:81.15pt;margin-top:96.55pt;width:460.55pt;height:279.75pt;z-index:2;mso-position-horizontal-relative:page;mso-position-vertical-relative:page" stroked="f">
            <v:textbox style="mso-next-textbox:#_x0000_s4116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5655"/>
                    <w:gridCol w:w="1440"/>
                  </w:tblGrid>
                  <w:tr w:rsidR="00166EC1" w:rsidRPr="00166EC1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66EC1" w:rsidRP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0נא</w:t>
                        </w:r>
                      </w:p>
                    </w:tc>
                    <w:tc>
                      <w:tcPr>
                        <w:tcW w:w="4237" w:type="pct"/>
                        <w:gridSpan w:val="2"/>
                      </w:tcPr>
                      <w:p w:rsidR="00166EC1" w:rsidRP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אחרי סעיף 30 לחוק הבזק, התשמ"ב-1982 1,  יבוא:</w:t>
                        </w:r>
                      </w:p>
                    </w:tc>
                  </w:tr>
                  <w:tr w:rsidR="00166EC1" w:rsidRPr="00166EC1">
                    <w:trPr>
                      <w:jc w:val="right"/>
                    </w:trPr>
                    <w:tc>
                      <w:tcPr>
                        <w:tcW w:w="763" w:type="pct"/>
                      </w:tcPr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7" w:type="pct"/>
                      </w:tcPr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30א. (א) המשגר דבר פרסומת באמצעות פקסימילה, ללא קבלת הסכמה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מראש ובכתב, של הנמען, דינו - קנס כקבוע בסעיף 61(א)(4) לחוק העונשין,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התשל"ז-21977; פניה חד-פעמית מטעם משגר לנמען שהינו בית עסק, הכוללת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הצעה להסכים לקבלת דברי פרסומת מטעמו, באמצעות פקסימילה, לא תהיה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עבירה לפי סעיף זה.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נעברה עבירה לפי סעיף זה בידי תאגיד, יראו גם את המנהל של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התאגיד ואת כל מי שהוא אחראי לתחומי השיווק או הפרסום בתאגיד, כמי שעבר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העבירה לפי סעיף קטן (א), אלא אם כן הוכיח שהעבירה נעברה שלא בידיעתו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ושנקט את כל האמצעים הסבירים למניעתה.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סעיף זה -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"משגר" - מי ששמו או מענו מופיעים בדבר הפרסומת כמען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להתקשרות לשם רכישתו של נשוא דבר הפרסומת או מי שתכנו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דבר הפרסום מצביע עליו, כמי שמעונין בשיגורו ובהתקשרות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עמו כאמור, אך למעט מי שביצע את הפעולה כשירות בזק לפי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רשיון כללי או מיוחד שניתן לפי חוק זה;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"דבר פרסומת" - מסר שמטרתו לעודד רכישת מוצר או שירות או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לעודד השקעת כספים בדרך אחרת."</w:t>
                        </w:r>
                      </w:p>
                    </w:tc>
                    <w:tc>
                      <w:tcPr>
                        <w:tcW w:w="860" w:type="pct"/>
                      </w:tcPr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.שיגור דבר</w:t>
                        </w:r>
                      </w:p>
                      <w:p w:rsid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פרסומת באמצעות</w:t>
                        </w:r>
                      </w:p>
                      <w:p w:rsidR="00166EC1" w:rsidRPr="00166EC1" w:rsidRDefault="00166EC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פקסימילה</w:t>
                        </w:r>
                      </w:p>
                    </w:tc>
                  </w:tr>
                </w:tbl>
                <w:p w:rsidR="00166EC1" w:rsidRDefault="00166EC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164" o:spid="_x0000_s1033" type="#_x0000_t202" style="position:absolute;left:0;text-align:left;margin-left:236.95pt;margin-top:69.8pt;width:217pt;height:25.15pt;z-index:1;mso-position-horizontal-relative:page;mso-position-vertical-relative:page" stroked="f">
            <v:textbox style="mso-next-textbox:#_x0000_s41164" inset="0,0,0,0">
              <w:txbxContent>
                <w:p w:rsidR="00166EC1" w:rsidRPr="00166EC1" w:rsidRDefault="00166EC1">
                  <w:pPr>
                    <w:pStyle w:val="OCRStyle1"/>
                    <w:ind w:left="18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הבזק (תיקון מס' 9), התשנ"ג- 1993*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66EC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714164-0EA2-4F95-B7FC-A92E1CBA0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66EC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2008-04-07T09:19:00Z</dcterms:created>
  <dcterms:modified xsi:type="dcterms:W3CDTF">2008-04-07T09:20:00Z</dcterms:modified>
</cp:coreProperties>
</file>