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7DFD" w:rsidRDefault="00CC7DFD">
      <w:pPr>
        <w:rPr>
          <w:rtl/>
        </w:rPr>
      </w:pPr>
    </w:p>
    <w:p w:rsidR="00CC7DF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25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253" inset="0,0,0,0">
              <w:txbxContent>
                <w:p w:rsidR="00B17B9F" w:rsidRDefault="00B17B9F">
                  <w:r>
                    <w:rPr>
                      <w:rtl/>
                    </w:rPr>
                    <w:t>108                                         ספר החוקים 1419                  כ"ג באייר התשנ"ג 14.05.1993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54" o:spid="_x0000_s1026" type="#_x0000_t202" style="position:absolute;left:0;text-align:left;margin-left:83.1pt;margin-top:647.3pt;width:380.35pt;height:103.15pt;z-index:3;mso-position-horizontal-relative:page;mso-position-vertical-relative:page" stroked="f">
            <v:textbox style="mso-next-textbox:#_x0000_s41254" inset="0,0,0,0">
              <w:txbxContent>
                <w:p w:rsidR="00B17B9F" w:rsidRDefault="00B17B9F">
                  <w:pPr>
                    <w:pStyle w:val="OCRStyle1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באייר התשנ"ג (11 במאי 1993) : הצעת החוק ודברי הסבר פורסמו בהצעות חוק 2151, מיום ד'</w:t>
                  </w:r>
                </w:p>
                <w:p w:rsidR="00B17B9F" w:rsidRDefault="00B17B9F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בטבת התשנ"ג (28 בדצמבר 1992), עמ' 36.</w:t>
                  </w:r>
                </w:p>
                <w:p w:rsidR="00B17B9F" w:rsidRDefault="00B17B9F">
                  <w:pPr>
                    <w:pStyle w:val="OCRStyle1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1 ס''ח התשנ"ב, עמ' 114 ועמ' 250; התשנ"ג, עמ' 22.</w:t>
                  </w:r>
                </w:p>
                <w:p w:rsidR="00B17B9F" w:rsidRDefault="00B17B9F">
                  <w:pPr>
                    <w:pStyle w:val="OCRStyle1"/>
                    <w:ind w:left="29"/>
                    <w:rPr>
                      <w:rtl/>
                    </w:rPr>
                  </w:pPr>
                  <w:r>
                    <w:rPr>
                      <w:rtl/>
                    </w:rPr>
                    <w:t>2 ס"ח התשי''ט, עמ' .234</w:t>
                  </w:r>
                </w:p>
                <w:p w:rsidR="00B17B9F" w:rsidRPr="00CC7DFD" w:rsidRDefault="00B17B9F">
                  <w:pPr>
                    <w:pStyle w:val="OCRStyle1"/>
                    <w:ind w:left="25"/>
                  </w:pPr>
                  <w:r>
                    <w:rPr>
                      <w:rtl/>
                    </w:rPr>
                    <w:t>3 ס"ח התשל''ח, עמ' .132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55" o:spid="_x0000_s1027" type="#_x0000_t202" style="position:absolute;left:0;text-align:left;margin-left:79.55pt;margin-top:108.35pt;width:485.5pt;height:532.8pt;z-index:2;mso-position-horizontal-relative:page;mso-position-vertical-relative:page" stroked="f">
            <v:textbox style="mso-next-textbox:#_x0000_s41255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71"/>
                    <w:gridCol w:w="1314"/>
                    <w:gridCol w:w="1743"/>
                  </w:tblGrid>
                  <w:tr w:rsidR="00B17B9F" w:rsidRPr="00CC7DFD">
                    <w:trPr>
                      <w:jc w:val="right"/>
                    </w:trPr>
                    <w:tc>
                      <w:tcPr>
                        <w:tcW w:w="4013" w:type="pct"/>
                        <w:gridSpan w:val="2"/>
                      </w:tcPr>
                      <w:p w:rsidR="00B17B9F" w:rsidRPr="00CC7DFD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אחרי סעיף 3 לחוק חובת המכרזים, התשנ"ב-11992 (להלן - החוק העיקרי), יבוא:</w:t>
                        </w:r>
                      </w:p>
                    </w:tc>
                    <w:tc>
                      <w:tcPr>
                        <w:tcW w:w="987" w:type="pct"/>
                      </w:tcPr>
                      <w:p w:rsidR="00B17B9F" w:rsidRPr="00CC7DFD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3א</w:t>
                        </w:r>
                      </w:p>
                    </w:tc>
                  </w:tr>
                  <w:tr w:rsidR="00B17B9F">
                    <w:trPr>
                      <w:jc w:val="right"/>
                    </w:trPr>
                    <w:tc>
                      <w:tcPr>
                        <w:tcW w:w="3269" w:type="pct"/>
                      </w:tcPr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הממשלה רשאית לקבוע בתקנות, באישור ועדת החוקה חוק</w:t>
                        </w:r>
                      </w:p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ומשפט של הכנסת, הוראות בענינים הבאים:</w:t>
                        </w:r>
                      </w:p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העדפה של תוצרת הארץ:</w:t>
                        </w:r>
                      </w:p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העדפה בשל התחייבות לשיתוף פעולה עסקי בינלאומי או</w:t>
                        </w:r>
                      </w:p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לרכש גומלין בינלאומי:</w:t>
                        </w:r>
                      </w:p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העדפה של תוצרת מאזורי עדיפות לאומית: לענין פסקה זו,</w:t>
                        </w:r>
                      </w:p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"אזורי עדיפות לאומית" - האזורים שנקבעו לפי סעיף 40ד לחוק</w:t>
                        </w:r>
                      </w:p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 הון, התשי"ט-21959, או אזורים אחרים שקבעה</w:t>
                        </w:r>
                      </w:p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מעת לעת, לענין חוק זה, ופירסמה על כך הודעה</w:t>
                        </w:r>
                      </w:p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קטן (א), ככל שהן חלות על חברה ממשלתית ועל</w:t>
                        </w:r>
                      </w:p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חברת בת ממשלתית, יראו אותן כקביעה של הממשלה לפי סעיף 4(א) לחוק</w:t>
                        </w:r>
                      </w:p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 הממשלתיות, התשל"ה-31975, והוראות החוק האמור יחולו לענין</w:t>
                        </w:r>
                      </w:p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הקביעה."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''הוראות בדבר</w:t>
                        </w:r>
                      </w:p>
                      <w:p w:rsidR="00B17B9F" w:rsidRPr="00CC7DFD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העדפות מסוימות</w:t>
                        </w:r>
                      </w:p>
                    </w:tc>
                    <w:tc>
                      <w:tcPr>
                        <w:tcW w:w="987" w:type="pct"/>
                      </w:tcPr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17B9F" w:rsidRPr="00CC7DFD">
                    <w:trPr>
                      <w:jc w:val="right"/>
                    </w:trPr>
                    <w:tc>
                      <w:tcPr>
                        <w:tcW w:w="4013" w:type="pct"/>
                        <w:gridSpan w:val="2"/>
                      </w:tcPr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 לחוק העיקרי, במקום סעיף קטן (ב) יבוא:</w:t>
                        </w:r>
                      </w:p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בתקנות לפי סעיף זה ייקבעו, בין היתר, פטורים מחובת מכרז להתקשרות הנדרשת</w:t>
                        </w:r>
                      </w:p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בדחיפות למניעת נזק של ממש ולהתקשרות שלגביה נתקיימו נסיבות מיוחדות ונדירות</w:t>
                        </w:r>
                      </w:p>
                      <w:p w:rsidR="00B17B9F" w:rsidRPr="00CC7DFD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המצדיקות עשייתה ללא מכרז, ותנאים למתן פטורים כאמור."</w:t>
                        </w:r>
                      </w:p>
                    </w:tc>
                    <w:tc>
                      <w:tcPr>
                        <w:tcW w:w="987" w:type="pct"/>
                      </w:tcPr>
                      <w:p w:rsidR="00B17B9F" w:rsidRPr="00CC7DFD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4</w:t>
                        </w:r>
                      </w:p>
                    </w:tc>
                  </w:tr>
                  <w:tr w:rsidR="00B17B9F" w:rsidRPr="00CC7DFD">
                    <w:trPr>
                      <w:jc w:val="right"/>
                    </w:trPr>
                    <w:tc>
                      <w:tcPr>
                        <w:tcW w:w="4013" w:type="pct"/>
                        <w:gridSpan w:val="2"/>
                      </w:tcPr>
                      <w:p w:rsidR="00B17B9F" w:rsidRPr="00CC7DFD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5 לחוק העיקרי יבוא:</w:t>
                        </w:r>
                      </w:p>
                    </w:tc>
                    <w:tc>
                      <w:tcPr>
                        <w:tcW w:w="987" w:type="pct"/>
                      </w:tcPr>
                      <w:p w:rsidR="00B17B9F" w:rsidRPr="00CC7DFD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5א</w:t>
                        </w:r>
                      </w:p>
                    </w:tc>
                  </w:tr>
                  <w:tr w:rsidR="00B17B9F">
                    <w:trPr>
                      <w:jc w:val="right"/>
                    </w:trPr>
                    <w:tc>
                      <w:tcPr>
                        <w:tcW w:w="3269" w:type="pct"/>
                      </w:tcPr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(א) תקנות לפי חוק זה ניתן לקבוע דרך כלל, לסוגי עיסקאות, או לסוגי</w:t>
                        </w:r>
                      </w:p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הגופים המתקשרים.</w:t>
                        </w:r>
                      </w:p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חוק זה יחולו ככל שאינן סותרות התחייבות של המדינה</w:t>
                        </w:r>
                      </w:p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באמנה בינלאומית."</w:t>
                        </w:r>
                      </w:p>
                    </w:tc>
                    <w:tc>
                      <w:tcPr>
                        <w:tcW w:w="744" w:type="pct"/>
                      </w:tcPr>
                      <w:p w:rsidR="00B17B9F" w:rsidRPr="00CC7DFD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</w:t>
                        </w:r>
                      </w:p>
                    </w:tc>
                    <w:tc>
                      <w:tcPr>
                        <w:tcW w:w="987" w:type="pct"/>
                      </w:tcPr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17B9F" w:rsidRPr="00CC7DFD">
                    <w:trPr>
                      <w:jc w:val="right"/>
                    </w:trPr>
                    <w:tc>
                      <w:tcPr>
                        <w:tcW w:w="4013" w:type="pct"/>
                        <w:gridSpan w:val="2"/>
                      </w:tcPr>
                      <w:p w:rsidR="00B17B9F" w:rsidRPr="00CC7DFD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8 לחוק העיקרי יבוא:</w:t>
                        </w:r>
                      </w:p>
                    </w:tc>
                    <w:tc>
                      <w:tcPr>
                        <w:tcW w:w="987" w:type="pct"/>
                      </w:tcPr>
                      <w:p w:rsidR="00B17B9F" w:rsidRPr="00CC7DFD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9</w:t>
                        </w:r>
                      </w:p>
                    </w:tc>
                  </w:tr>
                  <w:tr w:rsidR="00B17B9F">
                    <w:trPr>
                      <w:jc w:val="right"/>
                    </w:trPr>
                    <w:tc>
                      <w:tcPr>
                        <w:tcW w:w="3269" w:type="pct"/>
                      </w:tcPr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חוק זה לא יחול על התקשרות כתוצאה -</w:t>
                        </w:r>
                      </w:p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ממכרז פומבי או סגור, מפניה לקבלת הצעות או ממתן</w:t>
                        </w:r>
                      </w:p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התחייבות, והכל אם נעשו לפני תחילתו של חוק זה בהתאם לכללים</w:t>
                        </w:r>
                      </w:p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ולנהלים שהיו נוהגים לפני תחילתו של החוקן</w:t>
                        </w:r>
                      </w:p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ממימוש זכות ברירה הכלולה בחוזה שנכרת לפגי תחילתו של</w:t>
                        </w:r>
                      </w:p>
                      <w:p w:rsidR="00B17B9F" w:rsidRPr="00CC7DFD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B17B9F" w:rsidRPr="00CC7DFD" w:rsidRDefault="00B17B9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מעבר</w:t>
                        </w:r>
                      </w:p>
                    </w:tc>
                    <w:tc>
                      <w:tcPr>
                        <w:tcW w:w="987" w:type="pct"/>
                      </w:tcPr>
                      <w:p w:rsidR="00B17B9F" w:rsidRDefault="00B17B9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17B9F" w:rsidRDefault="00B17B9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256" o:spid="_x0000_s1028" type="#_x0000_t202" style="position:absolute;left:0;text-align:left;margin-left:139.95pt;margin-top:77.25pt;width:266.7pt;height:26.75pt;z-index:1;mso-position-horizontal-relative:page;mso-position-vertical-relative:page" stroked="f">
            <v:textbox style="mso-next-textbox:#_x0000_s41256" inset="0,0,0,0">
              <w:txbxContent>
                <w:p w:rsidR="00B17B9F" w:rsidRPr="00CC7DFD" w:rsidRDefault="00B17B9F">
                  <w:pPr>
                    <w:pStyle w:val="OCRStyle1"/>
                    <w:ind w:left="14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חובת המכרזים (תיקון מס' 3), התשנ"ג-1993*</w:t>
                  </w:r>
                </w:p>
              </w:txbxContent>
            </v:textbox>
            <w10:wrap anchorx="page" anchory="page"/>
          </v:shape>
        </w:pict>
      </w:r>
    </w:p>
    <w:p w:rsidR="00021FE3" w:rsidRDefault="00021FE3">
      <w:pPr>
        <w:rPr>
          <w:rtl/>
        </w:rPr>
      </w:pPr>
      <w:r>
        <w:rPr>
          <w:rtl/>
        </w:rPr>
        <w:br w:type="page"/>
      </w:r>
    </w:p>
    <w:p w:rsidR="00021FE3" w:rsidRDefault="00000000">
      <w:pPr>
        <w:rPr>
          <w:rtl/>
        </w:rPr>
      </w:pPr>
      <w:r>
        <w:pict>
          <v:shape id="_x0000_s41257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1257" inset="0,0,0,0">
              <w:txbxContent>
                <w:p w:rsidR="00B17B9F" w:rsidRDefault="00B17B9F">
                  <w:r>
                    <w:rPr>
                      <w:rtl/>
                    </w:rPr>
                    <w:t>109                                         ספר החוקים 1419                  כ"ג באייר התשנ"ג 14.05.1993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58" o:spid="_x0000_s1030" type="#_x0000_t202" style="position:absolute;left:0;text-align:left;margin-left:368pt;margin-top:721.85pt;width:192.05pt;height:33.45pt;z-index:10;mso-position-horizontal-relative:page;mso-position-vertical-relative:page" stroked="f">
            <v:textbox style="mso-next-textbox:#_x0000_s41258" inset="0,0,0,0">
              <w:txbxContent>
                <w:p w:rsidR="00B17B9F" w:rsidRDefault="00B17B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1259" o:spid="_x0000_s1031" type="#_x0000_t202" style="position:absolute;left:0;text-align:left;margin-left:286.2pt;margin-top:277.55pt;width:83.55pt;height:30.1pt;z-index:9;mso-position-horizontal-relative:page;mso-position-vertical-relative:page" stroked="f">
            <v:textbox style="mso-next-textbox:#_x0000_s41259" inset="0,0,0,0">
              <w:txbxContent>
                <w:p w:rsidR="00B17B9F" w:rsidRDefault="00B17B9F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B17B9F" w:rsidRDefault="00B17B9F">
                  <w:pPr>
                    <w:pStyle w:val="OCRStyle2"/>
                    <w:ind w:left="5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60" o:spid="_x0000_s1032" type="#_x0000_t202" style="position:absolute;left:0;text-align:left;margin-left:166.65pt;margin-top:235.35pt;width:127.5pt;height:38pt;z-index:8;mso-position-horizontal-relative:page;mso-position-vertical-relative:page" stroked="f">
            <v:textbox style="mso-next-textbox:#_x0000_s41260" inset="0,0,0,0">
              <w:txbxContent>
                <w:p w:rsidR="00B17B9F" w:rsidRDefault="00B17B9F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B17B9F" w:rsidRDefault="00B17B9F">
                  <w:pPr>
                    <w:pStyle w:val="OCRStyle2"/>
                    <w:ind w:left="63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61" o:spid="_x0000_s1033" type="#_x0000_t202" style="position:absolute;left:0;text-align:left;margin-left:374.9pt;margin-top:239.7pt;width:75.85pt;height:38.8pt;z-index:7;mso-position-horizontal-relative:page;mso-position-vertical-relative:page" stroked="f">
            <v:textbox style="mso-next-textbox:#_x0000_s41261" inset="0,0,0,0">
              <w:txbxContent>
                <w:p w:rsidR="00B17B9F" w:rsidRDefault="00B17B9F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17B9F" w:rsidRDefault="00B17B9F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62" o:spid="_x0000_s1034" type="#_x0000_t202" style="position:absolute;left:0;text-align:left;margin-left:473.15pt;margin-top:272.4pt;width:65.35pt;height:41.4pt;z-index:6;mso-position-horizontal-relative:page;mso-position-vertical-relative:page" stroked="f">
            <v:textbox style="mso-next-textbox:#_x0000_s41262" inset="0,0,0,0">
              <w:txbxContent>
                <w:p w:rsidR="00B17B9F" w:rsidRDefault="00B17B9F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17B9F" w:rsidRDefault="00B17B9F">
                  <w:pPr>
                    <w:pStyle w:val="OCRStyle2"/>
                    <w:ind w:left="7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63" o:spid="_x0000_s1035" type="#_x0000_t202" style="position:absolute;left:0;text-align:left;margin-left:125.25pt;margin-top:68.45pt;width:433.05pt;height:140.2pt;z-index:5;mso-position-horizontal-relative:page;mso-position-vertical-relative:page" stroked="f">
            <v:textbox style="mso-next-textbox:#_x0000_s41263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24"/>
                    <w:gridCol w:w="7049"/>
                  </w:tblGrid>
                  <w:tr w:rsidR="00B17B9F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B17B9F" w:rsidRDefault="00B17B9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77" w:type="pct"/>
                      </w:tcPr>
                      <w:p w:rsidR="00B17B9F" w:rsidRDefault="00B17B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עד כניסתן לתוקף של תקנות לסי סעיף 3א או עד יום אי בכסלו</w:t>
                        </w:r>
                      </w:p>
                      <w:p w:rsidR="00B17B9F" w:rsidRDefault="00B17B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התשנ''ד (15 בנובמבר 1993), לפי המוקדם, ינהגו המדינה וכל תאגיד ממשלתי</w:t>
                        </w:r>
                      </w:p>
                      <w:p w:rsidR="00B17B9F" w:rsidRDefault="00B17B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הענינים המפורטים בסעיף האמור לסי הכללים והנהלים שהיו נוהגים לסני</w:t>
                        </w:r>
                      </w:p>
                      <w:p w:rsidR="00B17B9F" w:rsidRDefault="00B17B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זה.</w:t>
                        </w:r>
                      </w:p>
                      <w:p w:rsidR="00B17B9F" w:rsidRDefault="00B17B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תוקסה של פסקה (3) בסעיף 3א(א) יסקע בתום שנתיים מיום תחילתו</w:t>
                        </w:r>
                      </w:p>
                      <w:p w:rsidR="00B17B9F" w:rsidRDefault="00B17B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זה."</w:t>
                        </w:r>
                      </w:p>
                    </w:tc>
                  </w:tr>
                  <w:tr w:rsidR="00B17B9F" w:rsidRPr="00021FE3">
                    <w:trPr>
                      <w:jc w:val="right"/>
                    </w:trPr>
                    <w:tc>
                      <w:tcPr>
                        <w:tcW w:w="523" w:type="pct"/>
                      </w:tcPr>
                      <w:p w:rsidR="00B17B9F" w:rsidRPr="00021FE3" w:rsidRDefault="00B17B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477" w:type="pct"/>
                      </w:tcPr>
                      <w:p w:rsidR="00B17B9F" w:rsidRPr="00021FE3" w:rsidRDefault="00B17B9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 זה ביום תחילתו של החוק העיקרי.</w:t>
                        </w:r>
                      </w:p>
                    </w:tc>
                  </w:tr>
                </w:tbl>
                <w:p w:rsidR="00B17B9F" w:rsidRDefault="00B17B9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B17B9F" w:rsidRDefault="00B17B9F">
      <w:pPr>
        <w:rPr>
          <w:rtl/>
        </w:rPr>
      </w:pPr>
      <w:r>
        <w:rPr>
          <w:rtl/>
        </w:rPr>
        <w:br w:type="page"/>
      </w:r>
    </w:p>
    <w:p w:rsidR="00B17B9F" w:rsidRDefault="00000000">
      <w:pPr>
        <w:rPr>
          <w:rtl/>
        </w:rPr>
      </w:pPr>
      <w:r>
        <w:pict>
          <v:shape id="_x0000_s41264" o:spid="_x0000_s1036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1264" inset="0,0,0,0">
              <w:txbxContent>
                <w:p w:rsidR="00B17B9F" w:rsidRDefault="00B17B9F">
                  <w:r>
                    <w:rPr>
                      <w:rtl/>
                    </w:rPr>
                    <w:t>110                                         ספר החוקים 1419                  כ"ג באייר התשנ"ג 14.05.1993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65" o:spid="_x0000_s1037" type="#_x0000_t202" style="position:absolute;left:0;text-align:left;margin-left:93.2pt;margin-top:729.45pt;width:201.55pt;height:27.5pt;z-index:12;mso-position-horizontal-relative:page;mso-position-vertical-relative:page" stroked="f">
            <v:textbox style="mso-next-textbox:#_x0000_s41265" inset="0,0,0,0">
              <w:txbxContent>
                <w:p w:rsidR="00B17B9F" w:rsidRDefault="00B17B9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C7DF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07A6E6-138D-4311-B142-870A56FF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C7DF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21FE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B17B9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2008-04-07T09:00:00Z</dcterms:created>
  <dcterms:modified xsi:type="dcterms:W3CDTF">2008-04-07T09:00:00Z</dcterms:modified>
</cp:coreProperties>
</file>