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E67" w:rsidRDefault="00426E67">
      <w:pPr>
        <w:rPr>
          <w:rtl/>
        </w:rPr>
      </w:pPr>
    </w:p>
    <w:p w:rsidR="00426E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1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312" inset="0,0,0,0">
              <w:txbxContent>
                <w:p w:rsidR="00426E67" w:rsidRDefault="00426E67">
                  <w:r>
                    <w:rPr>
                      <w:rtl/>
                    </w:rPr>
                    <w:t>92                                          ספר החוקים 1454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3" o:spid="_x0000_s1026" type="#_x0000_t202" style="position:absolute;left:0;text-align:left;margin-left:102.2pt;margin-top:701.85pt;width:220.35pt;height:39.6pt;z-index:8;mso-position-horizontal-relative:page;mso-position-vertical-relative:page" stroked="f">
            <v:textbox style="mso-next-textbox:#_x0000_s41313" inset="0,0,0,0">
              <w:txbxContent>
                <w:p w:rsidR="00426E67" w:rsidRDefault="00426E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14" o:spid="_x0000_s1027" type="#_x0000_t202" style="position:absolute;left:0;text-align:left;margin-left:106.6pt;margin-top:632.95pt;width:384.7pt;height:49.1pt;z-index:7;mso-position-horizontal-relative:page;mso-position-vertical-relative:page" stroked="f">
            <v:textbox style="mso-next-textbox:#_x0000_s41314" inset="0,0,0,0">
              <w:txbxContent>
                <w:p w:rsidR="00426E67" w:rsidRDefault="00426E67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כ-ה באדר התשנ"ד (8 במרס 1994): הצעת החוק ודברי הסבר פורסמו בהצעות חוק 2224,</w:t>
                  </w:r>
                </w:p>
                <w:p w:rsidR="00426E67" w:rsidRDefault="00426E67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מיום ט"ו בכסלו התשנ'ד (29 בנובמבר 1993), עמ' 139.</w:t>
                  </w:r>
                </w:p>
                <w:p w:rsidR="00426E67" w:rsidRDefault="00426E67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התשנ''ב, עמ' 147.</w:t>
                  </w:r>
                </w:p>
                <w:p w:rsidR="00426E67" w:rsidRPr="00426E67" w:rsidRDefault="00426E6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2 ס"ח התשי'ח,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5" o:spid="_x0000_s1028" type="#_x0000_t202" style="position:absolute;left:0;text-align:left;margin-left:107.35pt;margin-top:568.4pt;width:105.15pt;height:31.1pt;z-index:6;mso-position-horizontal-relative:page;mso-position-vertical-relative:page" stroked="f">
            <v:textbox style="mso-next-textbox:#_x0000_s41315" inset="0,0,0,0">
              <w:txbxContent>
                <w:p w:rsidR="00426E67" w:rsidRDefault="00426E67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26E67" w:rsidRDefault="00426E6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6" o:spid="_x0000_s1029" type="#_x0000_t202" style="position:absolute;left:0;text-align:left;margin-left:223.6pt;margin-top:595.15pt;width:77.6pt;height:31.9pt;z-index:5;mso-position-horizontal-relative:page;mso-position-vertical-relative:page" stroked="f">
            <v:textbox style="mso-next-textbox:#_x0000_s41316" inset="0,0,0,0">
              <w:txbxContent>
                <w:p w:rsidR="00426E67" w:rsidRDefault="00426E6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26E67" w:rsidRDefault="00426E67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7" o:spid="_x0000_s1030" type="#_x0000_t202" style="position:absolute;left:0;text-align:left;margin-left:316.65pt;margin-top:566.65pt;width:72.25pt;height:31.1pt;z-index:4;mso-position-horizontal-relative:page;mso-position-vertical-relative:page" stroked="f">
            <v:textbox style="mso-next-textbox:#_x0000_s41317" inset="0,0,0,0">
              <w:txbxContent>
                <w:p w:rsidR="00426E67" w:rsidRDefault="00426E6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26E67" w:rsidRDefault="00426E6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8" o:spid="_x0000_s1031" type="#_x0000_t202" style="position:absolute;left:0;text-align:left;margin-left:399.2pt;margin-top:595.15pt;width:86.15pt;height:34.45pt;z-index:3;mso-position-horizontal-relative:page;mso-position-vertical-relative:page" stroked="f">
            <v:textbox style="mso-next-textbox:#_x0000_s41318" inset="0,0,0,0">
              <w:txbxContent>
                <w:p w:rsidR="00426E67" w:rsidRDefault="00426E6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26E67" w:rsidRDefault="00426E67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9" o:spid="_x0000_s1032" type="#_x0000_t202" style="position:absolute;left:0;text-align:left;margin-left:105.8pt;margin-top:300.7pt;width:457pt;height:259.2pt;z-index:2;mso-position-horizontal-relative:page;mso-position-vertical-relative:page" stroked="f">
            <v:textbox style="mso-next-textbox:#_x0000_s413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2"/>
                    <w:gridCol w:w="1328"/>
                  </w:tblGrid>
                  <w:tr w:rsidR="00426E67" w:rsidRPr="00426E67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426E67" w:rsidRDefault="00426E6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משפחות חד הוריות, התשנ''ב-1992 1 (להלן - החוק העיקרי).-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"הורה יחיד'' יבוא: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''''הורה יחיד'' - תושב ישראל אשר בהחזקתו ילד הנמצא עמו ואשר נתקיים בו אחד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אינו נשוי ואין אדם הידוע בציבור כבן זוגו;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חי בנפרד מבן זוגו תקופה של שנתיים לפחות, ופתח בהליך על פי דין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להשתחרר מקשר הנישואין ופעל במסגרת הליך זה במשך שנתיים לפחות;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עגונה - כמשמעותה בחוק הביטוח הלאומי [נוסח משולב], התשכ''ח-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2 (להלן - חוק הביטוח הלאומי);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עולה חדש שנמצא בארץ למעלה משנה ופחות משנתיים ובן-זוגו לא עלה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ואף אינו שוהה בה.</w:t>
                        </w:r>
                      </w:p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'ילד'', המלים '[נוסח משולב], התשכ'ח-1968 (להלן - חוק הביטוח</w:t>
                        </w:r>
                      </w:p>
                      <w:p w:rsidR="00426E67" w:rsidRP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הלאומי)" - יימחקו.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26E67" w:rsidRP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26E67" w:rsidRPr="00426E67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אחרי ''הורה יחיד'' יבוא 'למעט הורה יחיד כאמור בפסקה (4)</w:t>
                        </w:r>
                      </w:p>
                      <w:p w:rsidR="00426E67" w:rsidRP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הורה יחיד'.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426E67" w:rsidRPr="00426E67" w:rsidRDefault="00426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4</w:t>
                        </w:r>
                      </w:p>
                    </w:tc>
                  </w:tr>
                </w:tbl>
                <w:p w:rsidR="00426E67" w:rsidRDefault="00426E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20" o:spid="_x0000_s1033" type="#_x0000_t202" style="position:absolute;left:0;text-align:left;margin-left:169.35pt;margin-top:272.2pt;width:259.95pt;height:26.75pt;z-index:1;mso-position-horizontal-relative:page;mso-position-vertical-relative:page" stroked="f">
            <v:textbox style="mso-next-textbox:#_x0000_s41320" inset="0,0,0,0">
              <w:txbxContent>
                <w:p w:rsidR="00426E67" w:rsidRPr="00426E67" w:rsidRDefault="00426E67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חד הוריות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6E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5A4D95-497D-4453-B2A0-332DB017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6E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2008-04-07T09:32:00Z</dcterms:created>
  <dcterms:modified xsi:type="dcterms:W3CDTF">2008-04-07T09:32:00Z</dcterms:modified>
</cp:coreProperties>
</file>