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6FC1" w:rsidRDefault="00526FC1">
      <w:pPr>
        <w:rPr>
          <w:rtl/>
        </w:rPr>
      </w:pPr>
    </w:p>
    <w:p w:rsidR="00526F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348" inset="0,0,0,0">
              <w:txbxContent>
                <w:p w:rsidR="00526FC1" w:rsidRDefault="00526FC1">
                  <w:r>
                    <w:rPr>
                      <w:rtl/>
                    </w:rPr>
                    <w:t>21                                          ספר החוקים 1406                   י"ד בטבת התשנ"ג 07.01.1993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49" o:spid="_x0000_s1026" type="#_x0000_t202" style="position:absolute;left:0;text-align:left;margin-left:176.85pt;margin-top:671.05pt;width:390.05pt;height:62.75pt;z-index:7;mso-position-horizontal-relative:page;mso-position-vertical-relative:page" stroked="f">
            <v:textbox style="mso-next-textbox:#_x0000_s41349" inset="0,0,0,0">
              <w:txbxContent>
                <w:p w:rsidR="00526FC1" w:rsidRDefault="00526FC1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התשנ"ג (31 בדצמבר 1992)! הצעת החוק ודברי הסבר פורסמו בהצעות חוק 2147, מיום</w:t>
                  </w:r>
                </w:p>
                <w:p w:rsidR="00526FC1" w:rsidRDefault="00526FC1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כ"ב בחשון התשנ"ג (18 בנובמבר 1992), עמ' 30.</w:t>
                  </w:r>
                </w:p>
                <w:p w:rsidR="00526FC1" w:rsidRPr="00526FC1" w:rsidRDefault="00526FC1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ס"ח התשכ"ה, עמ' 307: התשנ"ב, עמ' 159.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50" o:spid="_x0000_s1027" type="#_x0000_t202" style="position:absolute;left:0;text-align:left;margin-left:188.15pt;margin-top:600.35pt;width:78.2pt;height:34.45pt;z-index:6;mso-position-horizontal-relative:page;mso-position-vertical-relative:page" stroked="f">
            <v:textbox style="mso-next-textbox:#_x0000_s41350" inset="0,0,0,0">
              <w:txbxContent>
                <w:p w:rsidR="00526FC1" w:rsidRDefault="00526FC1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526FC1" w:rsidRDefault="00526FC1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51" o:spid="_x0000_s1028" type="#_x0000_t202" style="position:absolute;left:0;text-align:left;margin-left:278.45pt;margin-top:630.45pt;width:86.9pt;height:31.1pt;z-index:5;mso-position-horizontal-relative:page;mso-position-vertical-relative:page" stroked="f">
            <v:textbox style="mso-next-textbox:#_x0000_s41351" inset="0,0,0,0">
              <w:txbxContent>
                <w:p w:rsidR="00526FC1" w:rsidRDefault="00526FC1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26FC1" w:rsidRDefault="00526FC1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52" o:spid="_x0000_s1029" type="#_x0000_t202" style="position:absolute;left:0;text-align:left;margin-left:386.15pt;margin-top:602.15pt;width:72.25pt;height:32.65pt;z-index:4;mso-position-horizontal-relative:page;mso-position-vertical-relative:page" stroked="f">
            <v:textbox style="mso-next-textbox:#_x0000_s41352" inset="0,0,0,0">
              <w:txbxContent>
                <w:p w:rsidR="00526FC1" w:rsidRDefault="00526FC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26FC1" w:rsidRDefault="00526FC1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53" o:spid="_x0000_s1030" type="#_x0000_t202" style="position:absolute;left:0;text-align:left;margin-left:472.3pt;margin-top:627.85pt;width:81.75pt;height:36.25pt;z-index:3;mso-position-horizontal-relative:page;mso-position-vertical-relative:page" stroked="f">
            <v:textbox style="mso-next-textbox:#_x0000_s41353" inset="0,0,0,0">
              <w:txbxContent>
                <w:p w:rsidR="00526FC1" w:rsidRDefault="00526FC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26FC1" w:rsidRDefault="00526FC1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54" o:spid="_x0000_s1031" type="#_x0000_t202" style="position:absolute;left:0;text-align:left;margin-left:107.95pt;margin-top:391.65pt;width:457.95pt;height:204.95pt;z-index:2;mso-position-horizontal-relative:page;mso-position-vertical-relative:page" stroked="f">
            <v:textbox style="mso-next-textbox:#_x0000_s4135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5"/>
                    <w:gridCol w:w="6980"/>
                  </w:tblGrid>
                  <w:tr w:rsidR="00526FC1" w:rsidRPr="00526FC1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526FC1" w:rsidRP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145 לחוק התכנון והבניה, התשכ"ה-1965 1, אחרי סעיף קטן (ה) יבוא: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(1) שר הפנים יקבע בתקנות, בהתייעצות עם שר האנרגיה והתשתית ועם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לאיכות הסביבה, סוגים של עבודות ומתקנים הדרושים להולכה, לחלוקה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להספקה של חשמל; נקבעו סוגים כאמור, תהיה הרשאת הקמתם בדרך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הפנים באותן תקנות; הרשאה כאמור תבוא במקום היתר לפי סעיף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פרק י/ עבודה שבוצעה או מתקן שהוקם כאמור בפסקה (1) ללא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על פי התקנות או שלא בהתאם להרשאה כזו, יראו אותם כבניה ללא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או כסטיה מהיתר, לפי הענין: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עבודות שבוצעו או מתקנים שהוקמו על פי הרשאה כאמור בפסקה (1),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אותם כאילו בוצעו או הוקמו בהתאם לתכנית, ובלבד שאין בהם סתירה</w:t>
                        </w:r>
                      </w:p>
                      <w:p w:rsid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תכנית מאושרת; שר הפנים רשאי בתקנות כאמור בפסקה (1), לקבוע</w:t>
                        </w:r>
                      </w:p>
                      <w:p w:rsidR="00526FC1" w:rsidRPr="00526FC1" w:rsidRDefault="00526F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 סטיה של הרשאה כאמור מתכנית מופקדת."</w:t>
                        </w:r>
                      </w:p>
                    </w:tc>
                  </w:tr>
                </w:tbl>
                <w:p w:rsidR="00526FC1" w:rsidRDefault="00526F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55" o:spid="_x0000_s1032" type="#_x0000_t202" style="position:absolute;left:0;text-align:left;margin-left:228.55pt;margin-top:356.8pt;width:279.75pt;height:29.1pt;z-index:1;mso-position-horizontal-relative:page;mso-position-vertical-relative:page" stroked="f">
            <v:textbox style="mso-next-textbox:#_x0000_s41355" inset="0,0,0,0">
              <w:txbxContent>
                <w:p w:rsidR="00526FC1" w:rsidRPr="00526FC1" w:rsidRDefault="00526FC1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36), התשנ"ג-1992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26F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DED91A-172F-4463-A5B7-F6D0E369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6F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2008-04-07T08:48:00Z</dcterms:created>
  <dcterms:modified xsi:type="dcterms:W3CDTF">2008-04-07T08:48:00Z</dcterms:modified>
</cp:coreProperties>
</file>