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1588A" w:rsidRDefault="0051588A">
      <w:pPr>
        <w:rPr>
          <w:rtl/>
        </w:rPr>
      </w:pPr>
    </w:p>
    <w:p w:rsidR="005158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39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399" inset="0,0,0,0">
              <w:txbxContent>
                <w:p w:rsidR="0051588A" w:rsidRDefault="0051588A">
                  <w:r>
                    <w:rPr>
                      <w:rtl/>
                    </w:rPr>
                    <w:t>98                                          ספר החוקים 1417                   ד' בניסן התשנ"ג 26.03.1993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0" o:spid="_x0000_s1026" type="#_x0000_t202" style="position:absolute;left:0;text-align:left;margin-left:76.85pt;margin-top:586.75pt;width:372.05pt;height:150.7pt;z-index:7;mso-position-horizontal-relative:page;mso-position-vertical-relative:page" stroked="f">
            <v:textbox style="mso-next-textbox:#_x0000_s41400" inset="0,0,0,0">
              <w:txbxContent>
                <w:p w:rsidR="0051588A" w:rsidRDefault="0051588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כ"ג באדר התשנ"ג (16 במרס 1993): הגעת החוק ודברי הסבר פורסמו בהצעות חוק 2152, מיום ד'</w:t>
                  </w:r>
                </w:p>
                <w:p w:rsidR="0051588A" w:rsidRDefault="0051588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בטבת התשנ"ג (28 בדצמבר 1992), עמ' 39.</w:t>
                  </w:r>
                </w:p>
                <w:p w:rsidR="0051588A" w:rsidRDefault="0051588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ס"ח התשכ"ג, עמ' 156: התשנ"ג, עמ' 15.</w:t>
                  </w:r>
                </w:p>
                <w:p w:rsidR="0051588A" w:rsidRPr="0051588A" w:rsidRDefault="0051588A">
                  <w:pPr>
                    <w:pStyle w:val="OCRStyle1"/>
                    <w:ind w:left="-4"/>
                  </w:pPr>
                  <w:r>
                    <w:rPr>
                      <w:rtl/>
                    </w:rPr>
                    <w:t xml:space="preserve"> 0334-2832  </w:t>
                  </w:r>
                  <w:r>
                    <w:t>ISSN</w:t>
                  </w:r>
                  <w:r>
                    <w:rPr>
                      <w:rtl/>
                    </w:rPr>
                    <w:t xml:space="preserve">    סודר בסדר-צילום והודפס כמדפיס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1" o:spid="_x0000_s1027" type="#_x0000_t202" style="position:absolute;left:0;text-align:left;margin-left:76.05pt;margin-top:513.5pt;width:126.5pt;height:29.3pt;z-index:6;mso-position-horizontal-relative:page;mso-position-vertical-relative:page" stroked="f">
            <v:textbox style="mso-next-textbox:#_x0000_s41401" inset="0,0,0,0">
              <w:txbxContent>
                <w:p w:rsidR="0051588A" w:rsidRDefault="0051588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51588A" w:rsidRDefault="0051588A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2" o:spid="_x0000_s1028" type="#_x0000_t202" style="position:absolute;left:0;text-align:left;margin-left:203.35pt;margin-top:541pt;width:84.35pt;height:36.25pt;z-index:5;mso-position-horizontal-relative:page;mso-position-vertical-relative:page" stroked="f">
            <v:textbox style="mso-next-textbox:#_x0000_s41402" inset="0,0,0,0">
              <w:txbxContent>
                <w:p w:rsidR="0051588A" w:rsidRDefault="0051588A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1588A" w:rsidRDefault="0051588A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3" o:spid="_x0000_s1029" type="#_x0000_t202" style="position:absolute;left:0;text-align:left;margin-left:294.65pt;margin-top:510.95pt;width:75.85pt;height:33.65pt;z-index:4;mso-position-horizontal-relative:page;mso-position-vertical-relative:page" stroked="f">
            <v:textbox style="mso-next-textbox:#_x0000_s41403" inset="0,0,0,0">
              <w:txbxContent>
                <w:p w:rsidR="0051588A" w:rsidRDefault="0051588A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1588A" w:rsidRDefault="0051588A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4" o:spid="_x0000_s1030" type="#_x0000_t202" style="position:absolute;left:0;text-align:left;margin-left:375.65pt;margin-top:542.8pt;width:80pt;height:31.9pt;z-index:3;mso-position-horizontal-relative:page;mso-position-vertical-relative:page" stroked="f">
            <v:textbox style="mso-next-textbox:#_x0000_s41404" inset="0,0,0,0">
              <w:txbxContent>
                <w:p w:rsidR="0051588A" w:rsidRDefault="0051588A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1588A" w:rsidRDefault="0051588A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05" o:spid="_x0000_s1031" type="#_x0000_t202" style="position:absolute;left:0;text-align:left;margin-left:71.7pt;margin-top:97.7pt;width:475.2pt;height:408.85pt;z-index:2;mso-position-horizontal-relative:page;mso-position-vertical-relative:page" stroked="f">
            <v:textbox style="mso-next-textbox:#_x0000_s4140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2"/>
                    <w:gridCol w:w="1509"/>
                  </w:tblGrid>
                  <w:tr w:rsidR="0051588A" w:rsidRPr="0051588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51588A" w:rsidRDefault="0051588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 לחוק מס שבח מקרקעין, התשכ"ג-11963 (להלן - החוק העיקרי), אחרי סעיף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 יבוא: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מכירת זכות במקרקעין הנמנית עם נכסי עזבון, או עשיית פעולה באיגוד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הנמנה עם נכסי עזבון, יראו אותן כמכירת הזכות או עשיית הפעולה בידי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היורשים, על אף האמור בסעיף 4.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במכירה ובעשיית פעולה כאמור בפסקה (1), יום הרכישה ושווי הרכישה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בהתאם להוראות סעיפים 26 ו-37.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מנהל העזבון אחראי למילוי החובות הקבועות בסעיפים 73, 76, 90א ו- 91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לא מונה מנהל לעזבון יחולו החובות האמורות על כל אחד מהיורשים.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סעיף קטן זה, חלוקת נכסי עזבון בין יורשים, לא יראוה כמכירה, ובלבד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שאם במסגרת החלוקה ניתנה תמורה בכסף, או בשווה כסף שאינו נכס הנמנה עם</w:t>
                        </w:r>
                      </w:p>
                      <w:p w:rsidR="0051588A" w:rsidRP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העזבון, יראו את חלק העזבון שבשלו ניתנה התמורה כאילו נמכר."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51588A" w:rsidRP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51588A" w:rsidRPr="0051588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49ב לחוק העיקרי -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(1)(ד), במקום "פסקאות (3) או (4)" יבוא "פסקאות (3), (4) או (5)";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המכירה היא של דירת מגורים שקיבל המוכר בירושה, ובלבד שהתקיימו כל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המוכר הוא בן זוגו של המוריש, או צאצא של המוריש, או בן זוגו של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צאצא של המוריש?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פטירתו היה המוריש בעלה של דירת מגורים אחת בלבד:</w:t>
                        </w:r>
                      </w:p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אילו היה המוריש עדיין בחיים ומוכר את דירת המגורים, היה פטור ממס</w:t>
                        </w:r>
                      </w:p>
                      <w:p w:rsidR="0051588A" w:rsidRP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כשל המכירה."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51588A" w:rsidRP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49ב</w:t>
                        </w:r>
                      </w:p>
                    </w:tc>
                  </w:tr>
                  <w:tr w:rsidR="0051588A" w:rsidRPr="0051588A">
                    <w:trPr>
                      <w:jc w:val="right"/>
                    </w:trPr>
                    <w:tc>
                      <w:tcPr>
                        <w:tcW w:w="4127" w:type="pct"/>
                      </w:tcPr>
                      <w:p w:rsid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יחול לענין מכירת זכות במקרקעין הנמנית עם נכסי עזבון ולענין פעולה באיגוד</w:t>
                        </w:r>
                      </w:p>
                      <w:p w:rsidR="0051588A" w:rsidRP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הנמנה עם נכסי עזבון שנעשו ביום פרסומו של חוק זה או לאחר מכן.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51588A" w:rsidRPr="0051588A" w:rsidRDefault="005158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51588A" w:rsidRDefault="005158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06" o:spid="_x0000_s1032" type="#_x0000_t202" style="position:absolute;left:0;text-align:left;margin-left:120.8pt;margin-top:61.65pt;width:292.65pt;height:27.5pt;z-index:1;mso-position-horizontal-relative:page;mso-position-vertical-relative:page" stroked="f">
            <v:textbox style="mso-next-textbox:#_x0000_s41406" inset="0,0,0,0">
              <w:txbxContent>
                <w:p w:rsidR="0051588A" w:rsidRPr="0051588A" w:rsidRDefault="0051588A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שבח מקרקעין (תיקון מסי 24),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158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037228-DE7C-4354-BF1F-4AC2E383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158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2008-04-07T08:57:00Z</dcterms:created>
  <dcterms:modified xsi:type="dcterms:W3CDTF">2008-04-07T08:57:00Z</dcterms:modified>
</cp:coreProperties>
</file>