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F38A0" w:rsidRDefault="000F38A0">
      <w:pPr>
        <w:rPr>
          <w:rtl/>
        </w:rPr>
      </w:pPr>
    </w:p>
    <w:p w:rsidR="000F38A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53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1531" inset="0,0,0,0">
              <w:txbxContent>
                <w:p w:rsidR="00332A7D" w:rsidRDefault="00332A7D">
                  <w:r>
                    <w:rPr>
                      <w:rtl/>
                    </w:rPr>
                    <w:t>91                                          ספר החוקים 1454                   כ"ז באדר התשנ"ד 10.03.1994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32" o:spid="_x0000_s1026" type="#_x0000_t202" style="position:absolute;left:0;text-align:left;margin-left:150.2pt;margin-top:675.5pt;width:389.05pt;height:65.55pt;z-index:3;mso-position-horizontal-relative:page;mso-position-vertical-relative:page" stroked="f">
            <v:textbox style="mso-next-textbox:#_x0000_s41532" inset="0,0,0,0">
              <w:txbxContent>
                <w:p w:rsidR="00332A7D" w:rsidRDefault="00332A7D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כיה באדר התשנ''ד (8 במרס 1994); הצעת החוק ודברי הסבר פורסמו בהצעות חוק 2245,</w:t>
                  </w:r>
                </w:p>
                <w:p w:rsidR="00332A7D" w:rsidRDefault="00332A7D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מיום כ'ז בשבט התשנ'ד (8 בפברואר 1994), עפר ג21.</w:t>
                  </w:r>
                </w:p>
                <w:p w:rsidR="00332A7D" w:rsidRPr="000F38A0" w:rsidRDefault="00332A7D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1 ס"ח התשכ"ח, עמ' 108; התשנ''ד, עמ' 91.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33" o:spid="_x0000_s1027" type="#_x0000_t202" style="position:absolute;left:0;text-align:left;margin-left:91.6pt;margin-top:477.5pt;width:447.7pt;height:197.2pt;z-index:2;mso-position-horizontal-relative:page;mso-position-vertical-relative:page" stroked="f">
            <v:textbox style="mso-next-textbox:#_x0000_s41533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4"/>
                    <w:gridCol w:w="7056"/>
                  </w:tblGrid>
                  <w:tr w:rsidR="00332A7D" w:rsidRPr="000F38A0">
                    <w:trPr>
                      <w:jc w:val="right"/>
                    </w:trPr>
                    <w:tc>
                      <w:tcPr>
                        <w:tcW w:w="666" w:type="pct"/>
                      </w:tcPr>
                      <w:p w:rsidR="00332A7D" w:rsidRPr="000F38A0" w:rsidRDefault="00332A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92</w:t>
                        </w:r>
                      </w:p>
                    </w:tc>
                    <w:tc>
                      <w:tcPr>
                        <w:tcW w:w="4334" w:type="pct"/>
                      </w:tcPr>
                      <w:p w:rsidR="00332A7D" w:rsidRDefault="00332A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92 לחוק הביטוח הלאומי [נוסח משולב], התשכ'ח-1968 1, אחרי סעיף קטן (א)</w:t>
                        </w:r>
                      </w:p>
                      <w:p w:rsidR="00332A7D" w:rsidRPr="000F38A0" w:rsidRDefault="00332A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יבוא;</w:t>
                        </w:r>
                      </w:p>
                    </w:tc>
                  </w:tr>
                  <w:tr w:rsidR="00332A7D">
                    <w:trPr>
                      <w:jc w:val="right"/>
                    </w:trPr>
                    <w:tc>
                      <w:tcPr>
                        <w:tcW w:w="666" w:type="pct"/>
                      </w:tcPr>
                      <w:p w:rsidR="00332A7D" w:rsidRDefault="00332A7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34" w:type="pct"/>
                      </w:tcPr>
                      <w:p w:rsidR="00332A7D" w:rsidRDefault="00332A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''(א 1) (ו) על אף האמור בסעיף קטן (א) תהא תושבת יהודה, השומרון או חבל עזה</w:t>
                        </w:r>
                      </w:p>
                      <w:p w:rsidR="00332A7D" w:rsidRDefault="00332A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האזור) מבוטחת למענק לידה ולקצבת לידה אף אם הלידה אירעה באזור,</w:t>
                        </w:r>
                      </w:p>
                      <w:p w:rsidR="00332A7D" w:rsidRDefault="00332A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שמתקיימים לגביה יתר התנאים האמורים בסעיף קטן (א)(2), ובכפוף לאמור</w:t>
                        </w:r>
                      </w:p>
                      <w:p w:rsidR="00332A7D" w:rsidRDefault="00332A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בכללים לפי פסקה (ב) ו-(ג).</w:t>
                        </w:r>
                      </w:p>
                      <w:p w:rsidR="00332A7D" w:rsidRDefault="00332A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השר, באישור ועדת העבודה והרווחה של הכנסת, יקבע בתקנות:</w:t>
                        </w:r>
                      </w:p>
                      <w:p w:rsidR="00332A7D" w:rsidRDefault="00332A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הוראות וכללים להגשת תביעה לפי סעיף זה, דרכי הוכחתה והדרכים</w:t>
                        </w:r>
                      </w:p>
                      <w:p w:rsidR="00332A7D" w:rsidRDefault="00332A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המענק והקצבה;</w:t>
                        </w:r>
                      </w:p>
                      <w:p w:rsidR="00332A7D" w:rsidRDefault="00332A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כללים לחישוב מספר ימי העבודה בתקופת ששת החודשים כאמור</w:t>
                        </w:r>
                      </w:p>
                      <w:p w:rsidR="00332A7D" w:rsidRDefault="00332A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(א)(2);</w:t>
                        </w:r>
                      </w:p>
                    </w:tc>
                  </w:tr>
                </w:tbl>
                <w:p w:rsidR="00332A7D" w:rsidRDefault="00332A7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534" o:spid="_x0000_s1028" type="#_x0000_t202" style="position:absolute;left:0;text-align:left;margin-left:207.8pt;margin-top:457.7pt;width:276.4pt;height:19.8pt;z-index:1;mso-position-horizontal-relative:page;mso-position-vertical-relative:page" stroked="f">
            <v:textbox style="mso-next-textbox:#_x0000_s41534" inset="0,0,0,0">
              <w:txbxContent>
                <w:p w:rsidR="00332A7D" w:rsidRPr="000F38A0" w:rsidRDefault="00332A7D">
                  <w:pPr>
                    <w:pStyle w:val="OCRStyle1"/>
                    <w:ind w:left="13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הביטוח הלאומי (תיקון מס' 84), התשנ"ד-1994*</w:t>
                  </w:r>
                </w:p>
              </w:txbxContent>
            </v:textbox>
            <w10:wrap anchorx="page" anchory="page"/>
          </v:shape>
        </w:pict>
      </w:r>
    </w:p>
    <w:p w:rsidR="00332A7D" w:rsidRDefault="00332A7D">
      <w:pPr>
        <w:rPr>
          <w:rtl/>
        </w:rPr>
      </w:pPr>
      <w:r>
        <w:rPr>
          <w:rtl/>
        </w:rPr>
        <w:br w:type="page"/>
      </w:r>
    </w:p>
    <w:p w:rsidR="00332A7D" w:rsidRDefault="00000000">
      <w:pPr>
        <w:rPr>
          <w:rtl/>
        </w:rPr>
      </w:pPr>
      <w:r>
        <w:pict>
          <v:shape id="_x0000_s41535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1535" inset="0,0,0,0">
              <w:txbxContent>
                <w:p w:rsidR="00332A7D" w:rsidRDefault="00332A7D">
                  <w:r>
                    <w:rPr>
                      <w:rtl/>
                    </w:rPr>
                    <w:t>92                                          ספר החוקים 1454                   כ"ז באדר התשנ"ד 10.03.1994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36" o:spid="_x0000_s1030" type="#_x0000_t202" style="position:absolute;left:0;text-align:left;margin-left:111.75pt;margin-top:183.7pt;width:104.15pt;height:34.45pt;z-index:9;mso-position-horizontal-relative:page;mso-position-vertical-relative:page" stroked="f">
            <v:textbox style="mso-next-textbox:#_x0000_s41536" inset="0,0,0,0">
              <w:txbxContent>
                <w:p w:rsidR="00332A7D" w:rsidRDefault="00332A7D">
                  <w:pPr>
                    <w:pStyle w:val="OCRStyle2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332A7D" w:rsidRDefault="00332A7D">
                  <w:pPr>
                    <w:pStyle w:val="OCRStyle2"/>
                    <w:ind w:left="54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37" o:spid="_x0000_s1031" type="#_x0000_t202" style="position:absolute;left:0;text-align:left;margin-left:229.75pt;margin-top:216.4pt;width:78.2pt;height:26.75pt;z-index:8;mso-position-horizontal-relative:page;mso-position-vertical-relative:page" stroked="f">
            <v:textbox style="mso-next-textbox:#_x0000_s41537" inset="0,0,0,0">
              <w:txbxContent>
                <w:p w:rsidR="00332A7D" w:rsidRDefault="00332A7D">
                  <w:pPr>
                    <w:pStyle w:val="OCRStyle2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332A7D" w:rsidRDefault="00332A7D">
                  <w:pPr>
                    <w:pStyle w:val="OCRStyle2"/>
                    <w:ind w:left="9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38" o:spid="_x0000_s1032" type="#_x0000_t202" style="position:absolute;left:0;text-align:left;margin-left:316.65pt;margin-top:181.15pt;width:73.05pt;height:37.8pt;z-index:7;mso-position-horizontal-relative:page;mso-position-vertical-relative:page" stroked="f">
            <v:textbox style="mso-next-textbox:#_x0000_s41538" inset="0,0,0,0">
              <w:txbxContent>
                <w:p w:rsidR="00332A7D" w:rsidRDefault="00332A7D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332A7D" w:rsidRDefault="00332A7D">
                  <w:pPr>
                    <w:pStyle w:val="OCRStyle2"/>
                    <w:ind w:left="15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39" o:spid="_x0000_s1033" type="#_x0000_t202" style="position:absolute;left:0;text-align:left;margin-left:399.2pt;margin-top:213.8pt;width:80.2pt;height:32.65pt;z-index:6;mso-position-horizontal-relative:page;mso-position-vertical-relative:page" stroked="f">
            <v:textbox style="mso-next-textbox:#_x0000_s41539" inset="0,0,0,0">
              <w:txbxContent>
                <w:p w:rsidR="00332A7D" w:rsidRDefault="00332A7D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עזר וי יצמן</w:t>
                  </w:r>
                </w:p>
                <w:p w:rsidR="00332A7D" w:rsidRDefault="00332A7D">
                  <w:pPr>
                    <w:pStyle w:val="OCRStyle2"/>
                    <w:ind w:left="277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40" o:spid="_x0000_s1034" type="#_x0000_t202" style="position:absolute;left:0;text-align:left;margin-left:99.65pt;margin-top:67.5pt;width:368.5pt;height:106.7pt;z-index:5;mso-position-horizontal-relative:page;mso-position-vertical-relative:page" stroked="f">
            <v:textbox style="mso-next-textbox:#_x0000_s41540" inset="0,0,0,0">
              <w:txbxContent>
                <w:p w:rsidR="00332A7D" w:rsidRDefault="00332A7D">
                  <w:pPr>
                    <w:pStyle w:val="OCRStyle2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(ג) כללים לקביעת המועד ממנו יימנו ששת החודשים האמורים בשים לב</w:t>
                  </w:r>
                </w:p>
                <w:p w:rsidR="00332A7D" w:rsidRDefault="00332A7D">
                  <w:pPr>
                    <w:pStyle w:val="OCRStyle2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ליום הלידה;</w:t>
                  </w:r>
                </w:p>
                <w:p w:rsidR="00332A7D" w:rsidRDefault="00332A7D">
                  <w:pPr>
                    <w:pStyle w:val="OCRStyle2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(ד) שטחים באזור שהאמור בסעיף זה לא יחול לגביהם.</w:t>
                  </w:r>
                </w:p>
                <w:p w:rsidR="00332A7D" w:rsidRDefault="00332A7D">
                  <w:pPr>
                    <w:pStyle w:val="OCRStyle2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במנין ימי העבודה כאמור בפסקה זו לא יובאו בחשבון ימי עבודה שחלו לפני רישום</w:t>
                  </w:r>
                </w:p>
                <w:p w:rsidR="00332A7D" w:rsidRDefault="00332A7D">
                  <w:pPr>
                    <w:pStyle w:val="OCRStyle2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ההעסקה במדור התשלומים של שירות התעסוקה וכן ימי עבודה של עובד במשק בית</w:t>
                  </w:r>
                </w:p>
                <w:p w:rsidR="00332A7D" w:rsidRDefault="00332A7D">
                  <w:pPr>
                    <w:pStyle w:val="OCRStyle2"/>
                    <w:ind w:left="295"/>
                  </w:pPr>
                  <w:r>
                    <w:rPr>
                      <w:rtl/>
                    </w:rPr>
                    <w:t>בתקופה שלפני המועד שבו דיווח המעסיק למוסד על ההעסקה.''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F38A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38A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CD0A963-1FBB-463F-BB66-7CF64C6CD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F38A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32A7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2008-04-07T09:32:00Z</dcterms:created>
  <dcterms:modified xsi:type="dcterms:W3CDTF">2008-04-07T09:32:00Z</dcterms:modified>
</cp:coreProperties>
</file>