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8F1" w:rsidRDefault="008618F1">
      <w:pPr>
        <w:rPr>
          <w:rtl/>
        </w:rPr>
      </w:pPr>
    </w:p>
    <w:p w:rsidR="008618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5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565" inset="0,0,0,0">
              <w:txbxContent>
                <w:p w:rsidR="005340E6" w:rsidRDefault="005340E6">
                  <w:r>
                    <w:rPr>
                      <w:rtl/>
                    </w:rPr>
                    <w:t>103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6" o:spid="_x0000_s1026" type="#_x0000_t202" style="position:absolute;left:0;text-align:left;margin-left:194.4pt;margin-top:666.9pt;width:379.75pt;height:80pt;z-index:3;mso-position-horizontal-relative:page;mso-position-vertical-relative:page" stroked="f">
            <v:textbox style="mso-next-textbox:#_x0000_s41566" inset="0,0,0,0">
              <w:txbxContent>
                <w:p w:rsidR="005340E6" w:rsidRDefault="005340E6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כ''ט באדר התשנ"ג (22 במרס 1993) ; הצעת החוק תברי הסכר פורסמו בהצעות חוק 2166, מיום</w:t>
                  </w:r>
                </w:p>
                <w:p w:rsidR="005340E6" w:rsidRDefault="005340E6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י"ז באדר התשנ"ג (10 במרס 1993), עמ' 86.</w:t>
                  </w:r>
                </w:p>
                <w:p w:rsidR="005340E6" w:rsidRDefault="005340E6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עמי 1459 התשנ"א, עמ' 67.</w:t>
                  </w:r>
                </w:p>
                <w:p w:rsidR="005340E6" w:rsidRPr="008618F1" w:rsidRDefault="005340E6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2 ס"ח התשמ"ב,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67" o:spid="_x0000_s1027" type="#_x0000_t202" style="position:absolute;left:0;text-align:left;margin-left:117pt;margin-top:365.55pt;width:457.95pt;height:293.45pt;z-index:2;mso-position-horizontal-relative:page;mso-position-vertical-relative:page" stroked="f">
            <v:textbox style="mso-next-textbox:#_x0000_s4156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1"/>
                    <w:gridCol w:w="5842"/>
                    <w:gridCol w:w="1152"/>
                  </w:tblGrid>
                  <w:tr w:rsidR="005340E6" w:rsidRPr="008618F1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340E6" w:rsidRPr="008618F1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ט'1</w:t>
                        </w:r>
                      </w:p>
                    </w:tc>
                    <w:tc>
                      <w:tcPr>
                        <w:tcW w:w="4201" w:type="pct"/>
                        <w:gridSpan w:val="2"/>
                      </w:tcPr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בפקודת בתי הסוהר [נוסח חדש], התשל"ב-1971 1 (להלן - הפקודה), בפרק ב', אחרי סימן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ט' יבוא:</w:t>
                        </w:r>
                      </w:p>
                      <w:p w:rsidR="005340E6" w:rsidRPr="008618F1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ט'1: שחרור מינהלי</w:t>
                        </w:r>
                      </w:p>
                    </w:tc>
                  </w:tr>
                  <w:tr w:rsidR="005340E6" w:rsidRPr="008618F1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09" w:type="pct"/>
                      </w:tcPr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68א. בסימן זה -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"אסיר" - אסיר שפוט;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"יתרת מאסר" - תקופת המאסר שנותרה לאסיר לשאת עד לשחרורו בתום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מאסרו המלאה או עד למועד שנקבע לשחרורו המוקדם לפי החלטת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השחרורים או לפי כל דין, והכל לפי התקופה הקצרה מביניהן;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"קבוצת אסירים" - קבוצת אסירים המאופיינת באורך המאסר שהוטל על מי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שנכלל בה, כמפורט בתוספת הראשונה?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"שחרור מינהלי" - שחרור אסירים טרם זמן לפי סעיף 68ג;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"תפוסת אסירים" - מספר האסירים המוחזקים בכלל בתי הסוהר לרבות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אסירים המאושפזים בבתי חולים לפי סעיפים 15(א) ו-16, או השוהים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בחופשה לפי סעיף 36 וכן אסירים המוחזקים במתקני המשטרה ועצורים על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סעיף 21א לחוק סדר הדין הפלילי [נוסח משולב], התשמ"ב-1982 2,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בכלל בתי הסוהר ובמתקני המשטרה;</w:t>
                        </w:r>
                      </w:p>
                      <w:p w:rsidR="005340E6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"תקן כליאה" - סך כל מקומות הכליאה בכלל בתי הסוהר.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5340E6" w:rsidRPr="008618F1" w:rsidRDefault="005340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340E6" w:rsidRDefault="005340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568" o:spid="_x0000_s1028" type="#_x0000_t202" style="position:absolute;left:0;text-align:left;margin-left:172.05pt;margin-top:331.85pt;width:402.15pt;height:29.3pt;z-index:1;mso-position-horizontal-relative:page;mso-position-vertical-relative:page" stroked="f">
            <v:textbox style="mso-next-textbox:#_x0000_s41568" inset="0,0,0,0">
              <w:txbxContent>
                <w:p w:rsidR="005340E6" w:rsidRPr="008618F1" w:rsidRDefault="005340E6">
                  <w:pPr>
                    <w:pStyle w:val="OCRStyle1"/>
                    <w:ind w:left="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בתי הסוהר (תיקון מסי 13) (שחרור מינהלי), התשנ"ג-1993*</w:t>
                  </w:r>
                </w:p>
              </w:txbxContent>
            </v:textbox>
            <w10:wrap anchorx="page" anchory="page"/>
          </v:shape>
        </w:pict>
      </w:r>
    </w:p>
    <w:p w:rsidR="00760E67" w:rsidRDefault="00760E67">
      <w:pPr>
        <w:rPr>
          <w:rtl/>
        </w:rPr>
      </w:pPr>
      <w:r>
        <w:rPr>
          <w:rtl/>
        </w:rPr>
        <w:br w:type="page"/>
      </w:r>
    </w:p>
    <w:p w:rsidR="00760E67" w:rsidRDefault="00000000">
      <w:pPr>
        <w:rPr>
          <w:rtl/>
        </w:rPr>
      </w:pPr>
      <w:r>
        <w:pict>
          <v:shape id="_x0000_s415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569" inset="0,0,0,0">
              <w:txbxContent>
                <w:p w:rsidR="005340E6" w:rsidRDefault="005340E6">
                  <w:r>
                    <w:rPr>
                      <w:rtl/>
                    </w:rPr>
                    <w:t>104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0" o:spid="_x0000_s1030" type="#_x0000_t202" style="position:absolute;left:0;text-align:left;margin-left:70.1pt;margin-top:727.75pt;width:160.2pt;height:32.65pt;z-index:6;mso-position-horizontal-relative:page;mso-position-vertical-relative:page" stroked="f">
            <v:textbox style="mso-next-textbox:#_x0000_s41570" inset="0,0,0,0">
              <w:txbxContent>
                <w:p w:rsidR="005340E6" w:rsidRDefault="005340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571" o:spid="_x0000_s1031" type="#_x0000_t202" style="position:absolute;left:0;text-align:left;margin-left:63.15pt;margin-top:70.75pt;width:468.25pt;height:650.05pt;z-index:5;mso-position-horizontal-relative:page;mso-position-vertical-relative:page" stroked="f">
            <v:textbox style="mso-next-textbox:#_x0000_s4157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45"/>
                    <w:gridCol w:w="3420"/>
                    <w:gridCol w:w="1188"/>
                    <w:gridCol w:w="1559"/>
                  </w:tblGrid>
                  <w:tr w:rsidR="005340E6">
                    <w:trPr>
                      <w:jc w:val="right"/>
                    </w:trPr>
                    <w:tc>
                      <w:tcPr>
                        <w:tcW w:w="3386" w:type="pct"/>
                        <w:gridSpan w:val="2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68ב. השר רשאי לקבוע בצו, מעת לעת באישור ועדת החוקה, חוק ומשפט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את תקן הכליאה, לתקופה שלא תעלה על שנה.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68ג. עלתה תפוסת האסירים על תקן הכליאה, רשאי הנציב לפי שיקול דעתו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 שימצא לנכון, להורות שישוחררו טרם זמנם האסירים שיתרת מאסרם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מתן ההוראה (להלן - היום הקובע), אינה עולה על יתרת המאסר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המרבית שנקבעה בתוספת הראשונה לקבוצת האסירים שעמה נמנים אותם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האסירים.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תקן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הכליאה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מינהלי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340E6">
                    <w:trPr>
                      <w:jc w:val="right"/>
                    </w:trPr>
                    <w:tc>
                      <w:tcPr>
                        <w:tcW w:w="3386" w:type="pct"/>
                        <w:gridSpan w:val="2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68ד. (א) עלה ביום הקובע מספר האסירים שניתן לשחררם שחרור מינהלי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מספר האסירים שיש לשחרר בשל עודף תפוסת אסירים על תקן הכליאה,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השחרור המינהלי בכל קבוצות האסירים, ובכל קבוצה יחל השחרור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באסיר שיתרת מאסרו היא הקצרה ביותר.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הגיעה תפוסת האסירים כדי תקן הכליאה - לא ישוחרר עוד כל אסיר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מינהלי.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ביום הקובע אסירים הנמנים עם אותה קבוצה שיתרת מאסרם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זהה, ויש לשחרר שחרור מינהלי רק חלק מהם - ישוחררו כולם, על אף האמור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אף אם תקטן בכך תפוסת האסירים מתקן הכליאה.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קדימה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בשחרור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340E6">
                    <w:trPr>
                      <w:jc w:val="right"/>
                    </w:trPr>
                    <w:tc>
                      <w:tcPr>
                        <w:tcW w:w="3386" w:type="pct"/>
                        <w:gridSpan w:val="2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68ה. שחרור מינהלי יראו כשחרור ברשיון לפי סעיף 28; הוראות סימן ה'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מי ששוחרר כאמור, בשינויים המחוייבים לפי הענין, אך אין חובה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לו רשיון לפי הסעיף האמור."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שחרור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כדין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ברשיון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340E6" w:rsidRPr="00760E67">
                    <w:trPr>
                      <w:jc w:val="right"/>
                    </w:trPr>
                    <w:tc>
                      <w:tcPr>
                        <w:tcW w:w="4084" w:type="pct"/>
                        <w:gridSpan w:val="3"/>
                      </w:tcPr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101 (א) לפקודה, במקום "בתוספת" יבוא ''בתוספת השניה''.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5340E6" w:rsidRPr="00760E67">
                    <w:trPr>
                      <w:jc w:val="right"/>
                    </w:trPr>
                    <w:tc>
                      <w:tcPr>
                        <w:tcW w:w="1377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07" w:type="pct"/>
                        <w:gridSpan w:val="2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132 לפקודה, אחרי פסקה (16) יבוא: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 א) דרכי ביצועו של שחרור מינהלי;''.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132</w:t>
                        </w:r>
                      </w:p>
                    </w:tc>
                  </w:tr>
                  <w:tr w:rsidR="005340E6" w:rsidRPr="00760E67">
                    <w:trPr>
                      <w:jc w:val="right"/>
                    </w:trPr>
                    <w:tc>
                      <w:tcPr>
                        <w:tcW w:w="1377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07" w:type="pct"/>
                        <w:gridSpan w:val="2"/>
                      </w:tcPr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התוספת לפקודה תסומן "תוספת שניה'' ולפניה יבוא: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תוססת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ראשונה</w:t>
                        </w:r>
                      </w:p>
                    </w:tc>
                  </w:tr>
                  <w:tr w:rsidR="005340E6">
                    <w:trPr>
                      <w:jc w:val="right"/>
                    </w:trPr>
                    <w:tc>
                      <w:tcPr>
                        <w:tcW w:w="1377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09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ראשונה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68ג)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340E6">
                    <w:trPr>
                      <w:jc w:val="right"/>
                    </w:trPr>
                    <w:tc>
                      <w:tcPr>
                        <w:tcW w:w="1377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מאסר מרבית בשבועות</w:t>
                        </w:r>
                      </w:p>
                    </w:tc>
                    <w:tc>
                      <w:tcPr>
                        <w:tcW w:w="2009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אסירים</w:t>
                        </w:r>
                      </w:p>
                    </w:tc>
                    <w:tc>
                      <w:tcPr>
                        <w:tcW w:w="698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5340E6">
                    <w:trPr>
                      <w:jc w:val="right"/>
                    </w:trPr>
                    <w:tc>
                      <w:tcPr>
                        <w:tcW w:w="1377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</w:p>
                    </w:tc>
                    <w:tc>
                      <w:tcPr>
                        <w:tcW w:w="2707" w:type="pct"/>
                        <w:gridSpan w:val="2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שנדון למאסר לתקופה -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העולה על חודש ואינה עולה על חצי שנה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העולה על חצי שנה ואינה עולה על שנה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העולה על שנה ואינה עולה על 18 חודשים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העולה על 18 חודשים ואינה עולה על 24 חודשים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העולה על 24 חודשים ואינה עולה על 30 חודשים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העולה על 30 חודשים ואינה עולה על 36 חודשים</w:t>
                        </w:r>
                      </w:p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העולה על 36 חודשים ואינה עולה על 42 חודשים</w:t>
                        </w:r>
                      </w:p>
                      <w:p w:rsidR="005340E6" w:rsidRPr="00760E67" w:rsidRDefault="005340E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העולה על 42 חודשים ואינה עולה על 48 חודשים</w:t>
                        </w:r>
                      </w:p>
                    </w:tc>
                    <w:tc>
                      <w:tcPr>
                        <w:tcW w:w="916" w:type="pct"/>
                      </w:tcPr>
                      <w:p w:rsidR="005340E6" w:rsidRDefault="005340E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340E6" w:rsidRDefault="005340E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340E6" w:rsidRDefault="005340E6">
      <w:pPr>
        <w:rPr>
          <w:rtl/>
        </w:rPr>
      </w:pPr>
      <w:r>
        <w:rPr>
          <w:rtl/>
        </w:rPr>
        <w:br w:type="page"/>
      </w:r>
    </w:p>
    <w:p w:rsidR="005340E6" w:rsidRDefault="00000000">
      <w:pPr>
        <w:rPr>
          <w:rtl/>
        </w:rPr>
      </w:pPr>
      <w:r>
        <w:pict>
          <v:shape id="_x0000_s4157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1572" inset="0,0,0,0">
              <w:txbxContent>
                <w:p w:rsidR="005340E6" w:rsidRDefault="005340E6">
                  <w:r>
                    <w:rPr>
                      <w:rtl/>
                    </w:rPr>
                    <w:t>105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3" o:spid="_x0000_s1033" type="#_x0000_t202" style="position:absolute;left:0;text-align:left;margin-left:216.15pt;margin-top:415.35pt;width:67.1pt;height:30.1pt;z-index:12;mso-position-horizontal-relative:page;mso-position-vertical-relative:page" stroked="f">
            <v:textbox style="mso-next-textbox:#_x0000_s41573" inset="0,0,0,0">
              <w:txbxContent>
                <w:p w:rsidR="005340E6" w:rsidRDefault="005340E6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5340E6" w:rsidRDefault="005340E6">
                  <w:pPr>
                    <w:pStyle w:val="OCRStyle3"/>
                    <w:ind w:left="119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4" o:spid="_x0000_s1034" type="#_x0000_t202" style="position:absolute;left:0;text-align:left;margin-left:299.7pt;margin-top:441.3pt;width:83.55pt;height:33.45pt;z-index:11;mso-position-horizontal-relative:page;mso-position-vertical-relative:page" stroked="f">
            <v:textbox style="mso-next-textbox:#_x0000_s41574" inset="0,0,0,0">
              <w:txbxContent>
                <w:p w:rsidR="005340E6" w:rsidRDefault="005340E6">
                  <w:pPr>
                    <w:pStyle w:val="OCRStyle3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340E6" w:rsidRDefault="005340E6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5" o:spid="_x0000_s1035" type="#_x0000_t202" style="position:absolute;left:0;text-align:left;margin-left:408.2pt;margin-top:415.35pt;width:67.9pt;height:31.1pt;z-index:10;mso-position-horizontal-relative:page;mso-position-vertical-relative:page" stroked="f">
            <v:textbox style="mso-next-textbox:#_x0000_s41575" inset="0,0,0,0">
              <w:txbxContent>
                <w:p w:rsidR="005340E6" w:rsidRDefault="005340E6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340E6" w:rsidRDefault="005340E6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6" o:spid="_x0000_s1036" type="#_x0000_t202" style="position:absolute;left:0;text-align:left;margin-left:496.95pt;margin-top:444.65pt;width:68.7pt;height:32.65pt;z-index:9;mso-position-horizontal-relative:page;mso-position-vertical-relative:page" stroked="f">
            <v:textbox style="mso-next-textbox:#_x0000_s41576" inset="0,0,0,0">
              <w:txbxContent>
                <w:p w:rsidR="005340E6" w:rsidRDefault="005340E6">
                  <w:pPr>
                    <w:pStyle w:val="OCRStyle3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340E6" w:rsidRDefault="005340E6">
                  <w:pPr>
                    <w:pStyle w:val="OCRStyle3"/>
                    <w:ind w:left="1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577" o:spid="_x0000_s1037" type="#_x0000_t202" style="position:absolute;left:0;text-align:left;margin-left:98.35pt;margin-top:66.7pt;width:473.4pt;height:345.3pt;z-index:8;mso-position-horizontal-relative:page;mso-position-vertical-relative:page" stroked="f">
            <v:textbox style="mso-next-textbox:#_x0000_s4157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0"/>
                    <w:gridCol w:w="1674"/>
                    <w:gridCol w:w="5365"/>
                  </w:tblGrid>
                  <w:tr w:rsidR="005340E6" w:rsidRPr="005340E6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ב'</w:t>
                        </w:r>
                      </w:p>
                      <w:p w:rsidR="005340E6" w:rsidRP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יתרת מאסר מרבית בשבועות</w:t>
                        </w:r>
                      </w:p>
                    </w:tc>
                    <w:tc>
                      <w:tcPr>
                        <w:tcW w:w="3116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טור א'</w:t>
                        </w:r>
                      </w:p>
                      <w:p w:rsidR="005340E6" w:rsidRP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קבוצת אסירים</w:t>
                        </w:r>
                      </w:p>
                    </w:tc>
                  </w:tr>
                  <w:tr w:rsidR="005340E6" w:rsidRPr="005340E6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2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  <w:p w:rsidR="005340E6" w:rsidRP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24"</w:t>
                        </w:r>
                      </w:p>
                    </w:tc>
                    <w:tc>
                      <w:tcPr>
                        <w:tcW w:w="3116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העולה על 48 חודשים ואינה עולה על 54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העולה על 54 חודשים ואינה עולה על 60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העולה על 60 חודשים ואינה עולה על 66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העולה על 66 חודשים ואינה עולה על 72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העולה על 72 חודשים ואינה עולה על 78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העולה על 78 חודשים ואינה עולה על 84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העולה על 84 חודשים ואינה עולה על 90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העולה על 90 חודשים ואינה עולה על 96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העולה על 96 חודשים ואינה עולה על 102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העולה על 102 חודשים ואינה עולה על 108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העולה על 108 חודשים ואינה עולה על 114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העולה על 114 חודשים ואינה עולה על 120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העולה על 120 חודשים ואינה עולה על 126 חודשים</w:t>
                        </w:r>
                      </w:p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העולה על 126 חודשים ואינה עולה על 132 חודשים</w:t>
                        </w:r>
                      </w:p>
                      <w:p w:rsidR="005340E6" w:rsidRP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העולה על 132 חודשים</w:t>
                        </w:r>
                      </w:p>
                    </w:tc>
                  </w:tr>
                  <w:tr w:rsidR="005340E6" w:rsidRPr="005340E6">
                    <w:trPr>
                      <w:jc w:val="right"/>
                    </w:trPr>
                    <w:tc>
                      <w:tcPr>
                        <w:tcW w:w="912" w:type="pct"/>
                      </w:tcPr>
                      <w:p w:rsidR="005340E6" w:rsidRP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972" w:type="pct"/>
                      </w:tcPr>
                      <w:p w:rsid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16" w:type="pct"/>
                      </w:tcPr>
                      <w:p w:rsidR="005340E6" w:rsidRPr="005340E6" w:rsidRDefault="005340E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י' בניסן התשנ"ג (1 באפריל 1993).</w:t>
                        </w:r>
                      </w:p>
                    </w:tc>
                  </w:tr>
                </w:tbl>
                <w:p w:rsidR="005340E6" w:rsidRDefault="005340E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618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B13A6B-FD2F-4254-99EC-D2E1E689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18F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60E6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340E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2008-04-07T08:59:00Z</dcterms:created>
  <dcterms:modified xsi:type="dcterms:W3CDTF">2008-04-07T08:59:00Z</dcterms:modified>
</cp:coreProperties>
</file>