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D5CA8" w:rsidRDefault="005D5CA8">
      <w:pPr>
        <w:rPr>
          <w:rtl/>
        </w:rPr>
      </w:pPr>
    </w:p>
    <w:p w:rsidR="005D5CA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1661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1661" inset="0,0,0,0">
              <w:txbxContent>
                <w:p w:rsidR="005D5CA8" w:rsidRDefault="005D5CA8">
                  <w:r>
                    <w:rPr>
                      <w:rtl/>
                    </w:rPr>
                    <w:t>54                                          ספר החוקים 1446                    א' בשבט התשנ"ד 13.01.1994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1662" o:spid="_x0000_s1026" type="#_x0000_t202" style="position:absolute;left:0;text-align:left;margin-left:97.55pt;margin-top:687.45pt;width:224.75pt;height:45.75pt;z-index:8;mso-position-horizontal-relative:page;mso-position-vertical-relative:page" stroked="f">
            <v:textbox style="mso-next-textbox:#_x0000_s41662" inset="0,0,0,0">
              <w:txbxContent>
                <w:p w:rsidR="005D5CA8" w:rsidRDefault="005D5CA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663" o:spid="_x0000_s1027" type="#_x0000_t202" style="position:absolute;left:0;text-align:left;margin-left:108.8pt;margin-top:246.7pt;width:380.35pt;height:40.4pt;z-index:7;mso-position-horizontal-relative:page;mso-position-vertical-relative:page" stroked="f">
            <v:textbox style="mso-next-textbox:#_x0000_s41663" inset="0,0,0,0">
              <w:txbxContent>
                <w:p w:rsidR="005D5CA8" w:rsidRDefault="005D5CA8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? נתקבל בכנסת ביום כ"א בטבת התשנ"ד (4 בינואר 994ו); הצעת החוק ודברי הסבר פורסמו בהצעות חוק 2226</w:t>
                  </w:r>
                </w:p>
                <w:p w:rsidR="005D5CA8" w:rsidRDefault="005D5CA8">
                  <w:pPr>
                    <w:pStyle w:val="OCRStyle1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מיום כ"ב בכסלו התשנ'ד (6 בדצמבר 1993) , עמ' 25ו.</w:t>
                  </w:r>
                </w:p>
                <w:p w:rsidR="005D5CA8" w:rsidRPr="005D5CA8" w:rsidRDefault="005D5CA8">
                  <w:pPr>
                    <w:pStyle w:val="OCRStyle1"/>
                    <w:ind w:left="166"/>
                  </w:pPr>
                  <w:r>
                    <w:rPr>
                      <w:rtl/>
                    </w:rPr>
                    <w:t>י ס"ח התשכ"ג, עמ' 72; התשל'ח, עמ' 122; התשמ'א, עמ' 6.</w:t>
                  </w:r>
                </w:p>
              </w:txbxContent>
            </v:textbox>
            <w10:wrap anchorx="page" anchory="page"/>
          </v:shape>
        </w:pict>
      </w:r>
      <w:r>
        <w:pict>
          <v:shape id="_x0000_s41664" o:spid="_x0000_s1028" type="#_x0000_t202" style="position:absolute;left:0;text-align:left;margin-left:119.9pt;margin-top:182.95pt;width:68.1pt;height:31.9pt;z-index:6;mso-position-horizontal-relative:page;mso-position-vertical-relative:page" stroked="f">
            <v:textbox style="mso-next-textbox:#_x0000_s41664" inset="0,0,0,0">
              <w:txbxContent>
                <w:p w:rsidR="005D5CA8" w:rsidRDefault="005D5CA8">
                  <w:pPr>
                    <w:pStyle w:val="OCRStyle1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5D5CA8" w:rsidRDefault="005D5CA8">
                  <w:pPr>
                    <w:pStyle w:val="OCRStyle1"/>
                    <w:ind w:left="216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41665" o:spid="_x0000_s1029" type="#_x0000_t202" style="position:absolute;left:0;text-align:left;margin-left:200.1pt;margin-top:207.9pt;width:92.05pt;height:31.9pt;z-index:5;mso-position-horizontal-relative:page;mso-position-vertical-relative:page" stroked="f">
            <v:textbox style="mso-next-textbox:#_x0000_s41665" inset="0,0,0,0">
              <w:txbxContent>
                <w:p w:rsidR="005D5CA8" w:rsidRDefault="005D5CA8">
                  <w:pPr>
                    <w:pStyle w:val="OCRStyle1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5D5CA8" w:rsidRDefault="005D5CA8">
                  <w:pPr>
                    <w:pStyle w:val="OCRStyle1"/>
                    <w:ind w:left="173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1666" o:spid="_x0000_s1030" type="#_x0000_t202" style="position:absolute;left:0;text-align:left;margin-left:305.8pt;margin-top:180.35pt;width:76.65pt;height:33.65pt;z-index:4;mso-position-horizontal-relative:page;mso-position-vertical-relative:page" stroked="f">
            <v:textbox style="mso-next-textbox:#_x0000_s41666" inset="0,0,0,0">
              <w:txbxContent>
                <w:p w:rsidR="005D5CA8" w:rsidRDefault="005D5CA8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5D5CA8" w:rsidRDefault="005D5CA8">
                  <w:pPr>
                    <w:pStyle w:val="OCRStyle1"/>
                    <w:ind w:left="14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667" o:spid="_x0000_s1031" type="#_x0000_t202" style="position:absolute;left:0;text-align:left;margin-left:397.1pt;margin-top:208.9pt;width:74.85pt;height:30.9pt;z-index:3;mso-position-horizontal-relative:page;mso-position-vertical-relative:page" stroked="f">
            <v:textbox style="mso-next-textbox:#_x0000_s41667" inset="0,0,0,0">
              <w:txbxContent>
                <w:p w:rsidR="005D5CA8" w:rsidRDefault="005D5CA8">
                  <w:pPr>
                    <w:pStyle w:val="OCRStyle1"/>
                    <w:ind w:left="76"/>
                    <w:rPr>
                      <w:rtl/>
                    </w:rPr>
                  </w:pPr>
                  <w:r>
                    <w:rPr>
                      <w:rtl/>
                    </w:rPr>
                    <w:t>עזר וייצמן</w:t>
                  </w:r>
                </w:p>
                <w:p w:rsidR="005D5CA8" w:rsidRDefault="005D5CA8">
                  <w:pPr>
                    <w:pStyle w:val="OCRStyle1"/>
                    <w:ind w:left="12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668" o:spid="_x0000_s1032" type="#_x0000_t202" style="position:absolute;left:0;text-align:left;margin-left:102.65pt;margin-top:88.3pt;width:459.75pt;height:86.15pt;z-index:2;mso-position-horizontal-relative:page;mso-position-vertical-relative:page" stroked="f">
            <v:textbox style="mso-next-textbox:#_x0000_s41668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54"/>
                    <w:gridCol w:w="1318"/>
                    <w:gridCol w:w="1289"/>
                  </w:tblGrid>
                  <w:tr w:rsidR="005D5CA8" w:rsidRPr="005D5CA8">
                    <w:trPr>
                      <w:jc w:val="right"/>
                    </w:trPr>
                    <w:tc>
                      <w:tcPr>
                        <w:tcW w:w="4229" w:type="pct"/>
                        <w:gridSpan w:val="2"/>
                      </w:tcPr>
                      <w:p w:rsidR="005D5CA8" w:rsidRPr="005D5CA8" w:rsidRDefault="005D5C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יום הזכרון לחללי מערכות ישראל, התשכ''ג-1963 1, אחרי סעיף 4 יבוא;</w:t>
                        </w:r>
                      </w:p>
                    </w:tc>
                    <w:tc>
                      <w:tcPr>
                        <w:tcW w:w="771" w:type="pct"/>
                      </w:tcPr>
                      <w:p w:rsidR="005D5CA8" w:rsidRPr="005D5CA8" w:rsidRDefault="005D5C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4א</w:t>
                        </w:r>
                      </w:p>
                    </w:tc>
                  </w:tr>
                  <w:tr w:rsidR="005D5CA8">
                    <w:trPr>
                      <w:jc w:val="right"/>
                    </w:trPr>
                    <w:tc>
                      <w:tcPr>
                        <w:tcW w:w="3441" w:type="pct"/>
                      </w:tcPr>
                      <w:p w:rsidR="005D5CA8" w:rsidRDefault="005D5C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4א. (א) קרוב משפחה של חלל מערכות ישראל רשאי להיעדר מעבודתו</w:t>
                        </w:r>
                      </w:p>
                      <w:p w:rsidR="005D5CA8" w:rsidRDefault="005D5C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הזכרון; לענין זה יראו עובד שנעדר מעבודתו כאילו עבד.</w:t>
                        </w:r>
                      </w:p>
                      <w:p w:rsidR="005D5CA8" w:rsidRDefault="005D5C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סעיף זה, "קרוב משפחה' - הורים, הורי הורים, בן זוג,</w:t>
                        </w:r>
                      </w:p>
                      <w:p w:rsidR="005D5CA8" w:rsidRDefault="005D5C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ילדים, אחים ואחיות."</w:t>
                        </w:r>
                      </w:p>
                    </w:tc>
                    <w:tc>
                      <w:tcPr>
                        <w:tcW w:w="788" w:type="pct"/>
                      </w:tcPr>
                      <w:p w:rsidR="005D5CA8" w:rsidRDefault="005D5C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"היעדרות קרוב</w:t>
                        </w:r>
                      </w:p>
                      <w:p w:rsidR="005D5CA8" w:rsidRPr="005D5CA8" w:rsidRDefault="005D5C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משפחה מעבודה</w:t>
                        </w:r>
                      </w:p>
                    </w:tc>
                    <w:tc>
                      <w:tcPr>
                        <w:tcW w:w="771" w:type="pct"/>
                      </w:tcPr>
                      <w:p w:rsidR="005D5CA8" w:rsidRDefault="005D5CA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5D5CA8" w:rsidRDefault="005D5CA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669" o:spid="_x0000_s1033" type="#_x0000_t202" style="position:absolute;left:0;text-align:left;margin-left:110.4pt;margin-top:59pt;width:377.2pt;height:24.15pt;z-index:1;mso-position-horizontal-relative:page;mso-position-vertical-relative:page" stroked="f">
            <v:textbox style="mso-next-textbox:#_x0000_s41669" inset="0,0,0,0">
              <w:txbxContent>
                <w:p w:rsidR="005D5CA8" w:rsidRPr="005D5CA8" w:rsidRDefault="005D5CA8">
                  <w:pPr>
                    <w:pStyle w:val="OCRStyle1"/>
                    <w:ind w:left="32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יום הזכרון לחללי מערבות ישראל (תיקון מס' 3), התשנ"ד-1994*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D5CA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D5CA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032BB46-B63A-41A4-BB18-006C39DAF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D5CA8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2008-04-07T09:29:00Z</dcterms:created>
  <dcterms:modified xsi:type="dcterms:W3CDTF">2008-04-07T09:29:00Z</dcterms:modified>
</cp:coreProperties>
</file>