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6D3CC1" w:rsidRDefault="006D3CC1">
      <w:pPr>
        <w:rPr>
          <w:rtl/>
        </w:rPr>
      </w:pPr>
    </w:p>
    <w:p w:rsidR="006D3CC1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1712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41712" inset="0,0,0,0">
              <w:txbxContent>
                <w:p w:rsidR="00FF4A38" w:rsidRDefault="00FF4A38">
                  <w:r>
                    <w:rPr>
                      <w:rtl/>
                    </w:rPr>
                    <w:t>157                                         ספר החוקים 1429                    י"ב באב התשנ"ג 30.07.1993</w:t>
                  </w:r>
                </w:p>
              </w:txbxContent>
            </v:textbox>
            <w10:wrap anchorx="page" anchory="page"/>
          </v:shape>
        </w:pict>
      </w:r>
      <w:r>
        <w:pict>
          <v:shape id="_x0000_s41713" o:spid="_x0000_s1026" type="#_x0000_t202" style="position:absolute;left:0;text-align:left;margin-left:168.75pt;margin-top:686.75pt;width:378pt;height:70.5pt;z-index:7;mso-position-horizontal-relative:page;mso-position-vertical-relative:page" stroked="f">
            <v:textbox style="mso-next-textbox:#_x0000_s41713" inset="0,0,0,0">
              <w:txbxContent>
                <w:p w:rsidR="00FF4A38" w:rsidRDefault="00FF4A38">
                  <w:pPr>
                    <w:pStyle w:val="OCRStyle1"/>
                    <w:ind w:left="169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י''א באב התשנ''ג (29 ביולי 1993); הצעת החוק ודברי הסבר פורסמו בהצעות חוק 2196 מיום י'</w:t>
                  </w:r>
                </w:p>
                <w:p w:rsidR="00FF4A38" w:rsidRDefault="00FF4A38">
                  <w:pPr>
                    <w:pStyle w:val="OCRStyle1"/>
                    <w:ind w:left="418"/>
                    <w:rPr>
                      <w:rtl/>
                    </w:rPr>
                  </w:pPr>
                  <w:r>
                    <w:rPr>
                      <w:rtl/>
                    </w:rPr>
                    <w:t>באב התשנ''ג (28 ביולי 1993), עמ' 298.</w:t>
                  </w:r>
                </w:p>
                <w:p w:rsidR="00FF4A38" w:rsidRPr="006D3CC1" w:rsidRDefault="00FF4A38">
                  <w:pPr>
                    <w:pStyle w:val="OCRStyle1"/>
                    <w:ind w:left="176"/>
                  </w:pPr>
                  <w:r>
                    <w:rPr>
                      <w:rtl/>
                    </w:rPr>
                    <w:t>1 ס''ח התשמ''ה, עמ' 60; ח''ת התשנ"ג, עמ' 4; ס"ח התשנ''ג, עמ' 88.</w:t>
                  </w:r>
                </w:p>
              </w:txbxContent>
            </v:textbox>
            <w10:wrap anchorx="page" anchory="page"/>
          </v:shape>
        </w:pict>
      </w:r>
      <w:r>
        <w:pict>
          <v:shape id="_x0000_s41714" o:spid="_x0000_s1027" type="#_x0000_t202" style="position:absolute;left:0;text-align:left;margin-left:313.5pt;margin-top:653.85pt;width:73.85pt;height:29.3pt;z-index:6;mso-position-horizontal-relative:page;mso-position-vertical-relative:page" stroked="f">
            <v:textbox style="mso-next-textbox:#_x0000_s41714" inset="0,0,0,0">
              <w:txbxContent>
                <w:p w:rsidR="00FF4A38" w:rsidRDefault="00FF4A38">
                  <w:pPr>
                    <w:pStyle w:val="OCRStyle1"/>
                    <w:ind w:left="238"/>
                    <w:rPr>
                      <w:rtl/>
                    </w:rPr>
                  </w:pPr>
                  <w:r>
                    <w:rPr>
                      <w:rtl/>
                    </w:rPr>
                    <w:t>שבח וייס</w:t>
                  </w:r>
                </w:p>
                <w:p w:rsidR="00FF4A38" w:rsidRDefault="00FF4A38">
                  <w:pPr>
                    <w:pStyle w:val="OCRStyle1"/>
                    <w:ind w:left="94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1715" o:spid="_x0000_s1028" type="#_x0000_t202" style="position:absolute;left:0;text-align:left;margin-left:178.25pt;margin-top:625.55pt;width:130.9pt;height:28.3pt;z-index:5;mso-position-horizontal-relative:page;mso-position-vertical-relative:page" stroked="f">
            <v:textbox style="mso-next-textbox:#_x0000_s41715" inset="0,0,0,0">
              <w:txbxContent>
                <w:p w:rsidR="00FF4A38" w:rsidRDefault="00FF4A38">
                  <w:pPr>
                    <w:pStyle w:val="OCRStyle1"/>
                    <w:ind w:left="112"/>
                    <w:rPr>
                      <w:rtl/>
                    </w:rPr>
                  </w:pPr>
                  <w:r>
                    <w:rPr>
                      <w:rtl/>
                    </w:rPr>
                    <w:t>אברהם (בייגה) שוחט</w:t>
                  </w:r>
                </w:p>
                <w:p w:rsidR="00FF4A38" w:rsidRDefault="00FF4A38">
                  <w:pPr>
                    <w:pStyle w:val="OCRStyle1"/>
                    <w:ind w:left="842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41716" o:spid="_x0000_s1029" type="#_x0000_t202" style="position:absolute;left:0;text-align:left;margin-left:396.05pt;margin-top:626.35pt;width:75.85pt;height:26.75pt;z-index:4;mso-position-horizontal-relative:page;mso-position-vertical-relative:page" stroked="f">
            <v:textbox style="mso-next-textbox:#_x0000_s41716" inset="0,0,0,0">
              <w:txbxContent>
                <w:p w:rsidR="00FF4A38" w:rsidRDefault="00FF4A38">
                  <w:pPr>
                    <w:pStyle w:val="OCRStyle1"/>
                    <w:ind w:left="180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FF4A38" w:rsidRDefault="00FF4A38">
                  <w:pPr>
                    <w:pStyle w:val="OCRStyle1"/>
                    <w:ind w:left="220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1717" o:spid="_x0000_s1030" type="#_x0000_t202" style="position:absolute;left:0;text-align:left;margin-left:478.6pt;margin-top:652.3pt;width:66.35pt;height:31.7pt;z-index:3;mso-position-horizontal-relative:page;mso-position-vertical-relative:page" stroked="f">
            <v:textbox style="mso-next-textbox:#_x0000_s41717" inset="0,0,0,0">
              <w:txbxContent>
                <w:p w:rsidR="00FF4A38" w:rsidRDefault="00FF4A38">
                  <w:pPr>
                    <w:pStyle w:val="OCRStyle1"/>
                    <w:ind w:left="115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FF4A38" w:rsidRDefault="00FF4A38">
                  <w:pPr>
                    <w:pStyle w:val="OCRStyle1"/>
                    <w:ind w:left="173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1718" o:spid="_x0000_s1031" type="#_x0000_t202" style="position:absolute;left:0;text-align:left;margin-left:107.55pt;margin-top:543.8pt;width:443.5pt;height:80.8pt;z-index:2;mso-position-horizontal-relative:page;mso-position-vertical-relative:page" stroked="f">
            <v:textbox style="mso-next-textbox:#_x0000_s41718" inset="0,0,0,0">
              <w:txbxContent>
                <w:tbl>
                  <w:tblPr>
                    <w:tblW w:w="443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26"/>
                    <w:gridCol w:w="6937"/>
                  </w:tblGrid>
                  <w:tr w:rsidR="00FF4A38" w:rsidRPr="006D3CC1">
                    <w:trPr>
                      <w:jc w:val="right"/>
                    </w:trPr>
                    <w:tc>
                      <w:tcPr>
                        <w:tcW w:w="698" w:type="pct"/>
                      </w:tcPr>
                      <w:p w:rsidR="00FF4A38" w:rsidRPr="006D3CC1" w:rsidRDefault="00FF4A3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11</w:t>
                        </w:r>
                      </w:p>
                    </w:tc>
                    <w:tc>
                      <w:tcPr>
                        <w:tcW w:w="4302" w:type="pct"/>
                      </w:tcPr>
                      <w:p w:rsidR="00FF4A38" w:rsidRDefault="00FF4A3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בחוק יסודות התקציב, התשמ"ה-11985 (להלן - החוק העיקרי), בסעיף 11(ב) ברישה,</w:t>
                        </w:r>
                      </w:p>
                      <w:p w:rsidR="00FF4A38" w:rsidRDefault="00FF4A3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במקום "הועדה" יבוא "ועדה משותפת של חמישה חברי ועדת הכנסת וחמישה חברי ועדת הכספים של</w:t>
                        </w:r>
                      </w:p>
                      <w:p w:rsidR="00FF4A38" w:rsidRPr="006D3CC1" w:rsidRDefault="00FF4A3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הכנסת ואשר בראשה יושב-ראש ועדת הכנסת."</w:t>
                        </w:r>
                      </w:p>
                    </w:tc>
                  </w:tr>
                  <w:tr w:rsidR="00FF4A38" w:rsidRPr="006D3CC1">
                    <w:trPr>
                      <w:jc w:val="right"/>
                    </w:trPr>
                    <w:tc>
                      <w:tcPr>
                        <w:tcW w:w="698" w:type="pct"/>
                      </w:tcPr>
                      <w:p w:rsidR="00FF4A38" w:rsidRPr="006D3CC1" w:rsidRDefault="00FF4A3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13</w:t>
                        </w:r>
                      </w:p>
                    </w:tc>
                    <w:tc>
                      <w:tcPr>
                        <w:tcW w:w="4302" w:type="pct"/>
                      </w:tcPr>
                      <w:p w:rsidR="00FF4A38" w:rsidRDefault="00FF4A3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 . בסעיף 13 לחוק העיקרי, בסעיפים קטנים (ב) ו-(ב1), אחרי "הועדה" יבוא "האמורה בסעיף</w:t>
                        </w:r>
                      </w:p>
                      <w:p w:rsidR="00FF4A38" w:rsidRPr="006D3CC1" w:rsidRDefault="00FF4A3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 (ב)".</w:t>
                        </w:r>
                      </w:p>
                    </w:tc>
                  </w:tr>
                </w:tbl>
                <w:p w:rsidR="00FF4A38" w:rsidRDefault="00FF4A38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1719" o:spid="_x0000_s1032" type="#_x0000_t202" style="position:absolute;left:0;text-align:left;margin-left:228.95pt;margin-top:518.85pt;width:266.1pt;height:21.4pt;z-index:1;mso-position-horizontal-relative:page;mso-position-vertical-relative:page" stroked="f">
            <v:textbox style="mso-next-textbox:#_x0000_s41719" inset="0,0,0,0">
              <w:txbxContent>
                <w:p w:rsidR="00FF4A38" w:rsidRPr="006D3CC1" w:rsidRDefault="00FF4A38">
                  <w:pPr>
                    <w:pStyle w:val="OCRStyle1"/>
                    <w:ind w:left="23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יסודות התקציב (תיקון מס' 17), התשנ"ג-1993*</w:t>
                  </w:r>
                </w:p>
              </w:txbxContent>
            </v:textbox>
            <w10:wrap anchorx="page" anchory="page"/>
          </v:shape>
        </w:pict>
      </w:r>
    </w:p>
    <w:p w:rsidR="00192213" w:rsidRDefault="00192213">
      <w:pPr>
        <w:rPr>
          <w:rtl/>
        </w:rPr>
      </w:pPr>
      <w:r>
        <w:rPr>
          <w:rtl/>
        </w:rPr>
        <w:br w:type="page"/>
      </w:r>
    </w:p>
    <w:p w:rsidR="00192213" w:rsidRDefault="00000000">
      <w:pPr>
        <w:rPr>
          <w:rtl/>
        </w:rPr>
      </w:pPr>
      <w:r>
        <w:pict>
          <v:shape id="_x0000_s41720" o:spid="_x0000_s1033" type="#_x0000_t202" style="position:absolute;left:0;text-align:left;margin-left:50pt;margin-top:771.95pt;width:495.35pt;height:30pt;z-index:13;mso-position-horizontal-relative:page;mso-position-vertical-relative:page" stroked="f">
            <v:textbox style="mso-next-textbox:#_x0000_s41720" inset="0,0,0,0">
              <w:txbxContent>
                <w:p w:rsidR="00FF4A38" w:rsidRDefault="00FF4A38">
                  <w:r>
                    <w:rPr>
                      <w:rtl/>
                    </w:rPr>
                    <w:t>158                                         ספר החוקים 1429                    י"ב באב התשנ"ג 30.07.1993</w:t>
                  </w:r>
                </w:p>
              </w:txbxContent>
            </v:textbox>
            <w10:wrap anchorx="page" anchory="page"/>
          </v:shape>
        </w:pict>
      </w:r>
      <w:r>
        <w:pict>
          <v:shape id="_x0000_s41721" o:spid="_x0000_s1034" type="#_x0000_t202" style="position:absolute;left:0;text-align:left;margin-left:82.1pt;margin-top:720.25pt;width:183.35pt;height:42.15pt;z-index:12;mso-position-horizontal-relative:page;mso-position-vertical-relative:page" stroked="f">
            <v:textbox style="mso-next-textbox:#_x0000_s41721" inset="0,0,0,0">
              <w:txbxContent>
                <w:p w:rsidR="00FF4A38" w:rsidRDefault="00FF4A38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41722" o:spid="_x0000_s1035" type="#_x0000_t202" style="position:absolute;left:0;text-align:left;margin-left:85.5pt;margin-top:211.6pt;width:389.05pt;height:73.05pt;z-index:11;mso-position-horizontal-relative:page;mso-position-vertical-relative:page" stroked="f">
            <v:textbox style="mso-next-textbox:#_x0000_s41722" inset="0,0,0,0">
              <w:txbxContent>
                <w:p w:rsidR="00FF4A38" w:rsidRDefault="00FF4A38">
                  <w:pPr>
                    <w:pStyle w:val="OCRStyle2"/>
                    <w:ind w:left="212"/>
                    <w:rPr>
                      <w:rtl/>
                    </w:rPr>
                  </w:pPr>
                  <w:r>
                    <w:rPr>
                      <w:rtl/>
                    </w:rPr>
                    <w:t>* עם פתיחת הדיון בישיבה של מליאת הכנסת, בקריאה השניה של החוק (דברי הכנסת כרך 124, עט' 1764 עד עמ'</w:t>
                  </w:r>
                </w:p>
                <w:p w:rsidR="00FF4A38" w:rsidRDefault="00FF4A38">
                  <w:pPr>
                    <w:pStyle w:val="OCRStyle2"/>
                    <w:ind w:left="461"/>
                    <w:rPr>
                      <w:rtl/>
                    </w:rPr>
                  </w:pPr>
                  <w:r>
                    <w:rPr>
                      <w:rtl/>
                    </w:rPr>
                    <w:t>1773), הודיע יושב ראש ועדת הכספים של הכנסת, כי סעיף 2 בנוסח החוק שהונח על שולחן הכנסת, 1ורף בטעות ויש</w:t>
                  </w:r>
                </w:p>
                <w:p w:rsidR="00FF4A38" w:rsidRDefault="00FF4A38">
                  <w:pPr>
                    <w:pStyle w:val="OCRStyle2"/>
                    <w:ind w:left="461"/>
                    <w:rPr>
                      <w:rtl/>
                    </w:rPr>
                  </w:pPr>
                  <w:r>
                    <w:rPr>
                      <w:rtl/>
                    </w:rPr>
                    <w:t>לראותו כאילו אינו קיים (שם, עמ' 1764). היושב ראש של ישיבת המליאה חזר והודיע שסעיף 2 האמור נמחק מן הנוסח</w:t>
                  </w:r>
                </w:p>
                <w:p w:rsidR="00FF4A38" w:rsidRDefault="00FF4A38">
                  <w:pPr>
                    <w:pStyle w:val="OCRStyle2"/>
                    <w:ind w:left="464"/>
                    <w:rPr>
                      <w:rtl/>
                    </w:rPr>
                  </w:pPr>
                  <w:r>
                    <w:rPr>
                      <w:rtl/>
                    </w:rPr>
                    <w:t>ולכן לא התקיימה עליו ה1בעה בקריאה השניה (שם, עמ' 1773). בשל שגגה לא נמחק הסעיף מן הנוסח שנשלח לפרסום</w:t>
                  </w:r>
                </w:p>
                <w:p w:rsidR="00FF4A38" w:rsidRDefault="00FF4A38">
                  <w:pPr>
                    <w:pStyle w:val="OCRStyle2"/>
                    <w:ind w:left="464"/>
                    <w:rPr>
                      <w:rtl/>
                    </w:rPr>
                  </w:pPr>
                  <w:r>
                    <w:rPr>
                      <w:rtl/>
                    </w:rPr>
                    <w:t>למערכת רשומות. מכאן הצורך במחיקת הסעיף.</w:t>
                  </w:r>
                </w:p>
                <w:p w:rsidR="00FF4A38" w:rsidRDefault="00FF4A38">
                  <w:pPr>
                    <w:pStyle w:val="OCRStyle2"/>
                    <w:ind w:left="227"/>
                  </w:pPr>
                  <w:r>
                    <w:rPr>
                      <w:rtl/>
                    </w:rPr>
                    <w:t>1 ס"ח התשנ''ב, עמ' 45.</w:t>
                  </w:r>
                </w:p>
              </w:txbxContent>
            </v:textbox>
            <w10:wrap anchorx="page" anchory="page"/>
          </v:shape>
        </w:pict>
      </w:r>
      <w:r>
        <w:pict>
          <v:shape id="_x0000_s41723" o:spid="_x0000_s1036" type="#_x0000_t202" style="position:absolute;left:0;text-align:left;margin-left:128.45pt;margin-top:175.35pt;width:75.05pt;height:24.95pt;z-index:10;mso-position-horizontal-relative:page;mso-position-vertical-relative:page" stroked="f">
            <v:textbox style="mso-next-textbox:#_x0000_s41723" inset="0,0,0,0">
              <w:txbxContent>
                <w:p w:rsidR="00FF4A38" w:rsidRDefault="00FF4A38">
                  <w:pPr>
                    <w:pStyle w:val="OCRStyle2"/>
                    <w:ind w:left="148"/>
                    <w:rPr>
                      <w:rtl/>
                    </w:rPr>
                  </w:pPr>
                  <w:r>
                    <w:rPr>
                      <w:rtl/>
                    </w:rPr>
                    <w:t>דוד ליבאי</w:t>
                  </w:r>
                </w:p>
                <w:p w:rsidR="00FF4A38" w:rsidRPr="00192213" w:rsidRDefault="00FF4A38">
                  <w:pPr>
                    <w:pStyle w:val="OCRStyle2"/>
                    <w:ind w:left="202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41724" o:spid="_x0000_s1037" type="#_x0000_t202" style="position:absolute;left:0;text-align:left;margin-left:147.45pt;margin-top:73pt;width:326.3pt;height:100.6pt;z-index:9;mso-position-horizontal-relative:page;mso-position-vertical-relative:page" stroked="f">
            <v:textbox style="mso-next-textbox:#_x0000_s41724" inset="0,0,0,0">
              <w:txbxContent>
                <w:p w:rsidR="00FF4A38" w:rsidRDefault="00FF4A38">
                  <w:pPr>
                    <w:pStyle w:val="OCRStyle2"/>
                    <w:ind w:left="2801"/>
                    <w:rPr>
                      <w:sz w:val="22"/>
                      <w:szCs w:val="22"/>
                      <w:rtl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תיקון טעות דפוס</w:t>
                  </w:r>
                </w:p>
                <w:p w:rsidR="00FF4A38" w:rsidRDefault="00FF4A38">
                  <w:pPr>
                    <w:pStyle w:val="OCRStyle2"/>
                    <w:ind w:left="1919"/>
                    <w:rPr>
                      <w:sz w:val="22"/>
                      <w:szCs w:val="22"/>
                      <w:rtl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בחוק הפחתת הגרעון, התשנ"ב-1992*</w:t>
                  </w:r>
                </w:p>
                <w:p w:rsidR="00FF4A38" w:rsidRDefault="00FF4A38">
                  <w:pPr>
                    <w:pStyle w:val="OCRStyle2"/>
                    <w:ind w:left="1346"/>
                    <w:rPr>
                      <w:rtl/>
                    </w:rPr>
                  </w:pPr>
                  <w:r>
                    <w:rPr>
                      <w:rtl/>
                    </w:rPr>
                    <w:t>(לפי סעיף 10ב לפקודת סדרי השלטון והמשפט, התש"ח-1948</w:t>
                  </w:r>
                </w:p>
                <w:p w:rsidR="00FF4A38" w:rsidRDefault="00FF4A38">
                  <w:pPr>
                    <w:pStyle w:val="OCRStyle2"/>
                    <w:ind w:left="641"/>
                    <w:rPr>
                      <w:rtl/>
                    </w:rPr>
                  </w:pPr>
                  <w:r>
                    <w:rPr>
                      <w:rtl/>
                    </w:rPr>
                    <w:t>בחוק הפחתת הגרעון, התשנ"ב-11992, יש למחוק את סעיף 2.</w:t>
                  </w:r>
                </w:p>
                <w:p w:rsidR="00FF4A38" w:rsidRPr="00192213" w:rsidRDefault="00FF4A38">
                  <w:pPr>
                    <w:pStyle w:val="OCRStyle2"/>
                    <w:ind w:left="198"/>
                  </w:pPr>
                  <w:r>
                    <w:rPr>
                      <w:rtl/>
                    </w:rPr>
                    <w:t>י''א באב התשנ''ג (20 ביולי 1993)</w:t>
                  </w:r>
                </w:p>
              </w:txbxContent>
            </v:textbox>
            <w10:wrap anchorx="page" anchory="page"/>
          </v:shape>
        </w:pict>
      </w:r>
    </w:p>
    <w:p w:rsidR="00B363D6" w:rsidRDefault="00B363D6">
      <w:pPr>
        <w:rPr>
          <w:rtl/>
        </w:rPr>
      </w:pPr>
      <w:r>
        <w:rPr>
          <w:rtl/>
        </w:rPr>
        <w:br w:type="page"/>
      </w:r>
    </w:p>
    <w:p w:rsidR="00B363D6" w:rsidRDefault="00000000">
      <w:pPr>
        <w:rPr>
          <w:rtl/>
        </w:rPr>
      </w:pPr>
      <w:r>
        <w:pict>
          <v:shape id="_x0000_s41725" o:spid="_x0000_s1038" type="#_x0000_t202" style="position:absolute;left:0;text-align:left;margin-left:50pt;margin-top:771.95pt;width:495.35pt;height:30pt;z-index:14;mso-position-horizontal-relative:page;mso-position-vertical-relative:page" stroked="f">
            <v:textbox style="mso-next-textbox:#_x0000_s41725" inset="0,0,0,0">
              <w:txbxContent>
                <w:p w:rsidR="00FF4A38" w:rsidRDefault="00FF4A38">
                  <w:r>
                    <w:rPr>
                      <w:rtl/>
                    </w:rPr>
                    <w:t>159                                         ספר החוקים 1429                    י"ב באב התשנ"ג 30.07.1993</w:t>
                  </w:r>
                </w:p>
              </w:txbxContent>
            </v:textbox>
            <w10:wrap anchorx="page" anchory="page"/>
          </v:shape>
        </w:pict>
      </w:r>
    </w:p>
    <w:p w:rsidR="00FF4A38" w:rsidRDefault="00FF4A38">
      <w:pPr>
        <w:rPr>
          <w:rtl/>
        </w:rPr>
      </w:pPr>
      <w:r>
        <w:rPr>
          <w:rtl/>
        </w:rPr>
        <w:br w:type="page"/>
      </w:r>
    </w:p>
    <w:p w:rsidR="00FF4A38" w:rsidRDefault="00000000">
      <w:pPr>
        <w:rPr>
          <w:rtl/>
        </w:rPr>
      </w:pPr>
      <w:r>
        <w:pict>
          <v:shape id="_x0000_s41726" o:spid="_x0000_s1039" type="#_x0000_t202" style="position:absolute;left:0;text-align:left;margin-left:50pt;margin-top:771.95pt;width:495.35pt;height:30pt;z-index:16;mso-position-horizontal-relative:page;mso-position-vertical-relative:page" stroked="f">
            <v:textbox style="mso-next-textbox:#_x0000_s41726" inset="0,0,0,0">
              <w:txbxContent>
                <w:p w:rsidR="00FF4A38" w:rsidRDefault="00FF4A38">
                  <w:r>
                    <w:rPr>
                      <w:rtl/>
                    </w:rPr>
                    <w:t>160                                         ספר החוקים 1429                    י"ב באב התשנ"ג 30.07.1993</w:t>
                  </w:r>
                </w:p>
              </w:txbxContent>
            </v:textbox>
            <w10:wrap anchorx="page" anchory="page"/>
          </v:shape>
        </w:pict>
      </w:r>
      <w:r>
        <w:pict>
          <v:shape id="_x0000_s41727" o:spid="_x0000_s1040" type="#_x0000_t202" style="position:absolute;left:0;text-align:left;margin-left:79.7pt;margin-top:720.35pt;width:202.15pt;height:45.75pt;z-index:15;mso-position-horizontal-relative:page;mso-position-vertical-relative:page" stroked="f">
            <v:textbox style="mso-next-textbox:#_x0000_s41727" inset="0,0,0,0">
              <w:txbxContent>
                <w:p w:rsidR="00FF4A38" w:rsidRDefault="00FF4A38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6D3CC1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D3CC1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C9E8BDFD-E068-4B98-B31E-B2E3D3C437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6D3CC1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192213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B363D6"/>
    <w:rPr>
      <w:sz w:val="16"/>
      <w:szCs w:val="16"/>
    </w:rPr>
  </w:style>
  <w:style w:type="paragraph" w:customStyle="1" w:styleId="OCRStyle4">
    <w:name w:val="OCR Style #4"/>
    <w:basedOn w:val="a"/>
    <w:rsid w:val="00FF4A38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</Words>
  <Characters>24</Characters>
  <Application>Microsoft Office Word</Application>
  <DocSecurity>4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5</cp:revision>
  <dcterms:created xsi:type="dcterms:W3CDTF">2008-04-07T09:10:00Z</dcterms:created>
  <dcterms:modified xsi:type="dcterms:W3CDTF">2008-04-07T09:11:00Z</dcterms:modified>
</cp:coreProperties>
</file>