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1A47" w:rsidRDefault="006B1A47">
      <w:pPr>
        <w:rPr>
          <w:rtl/>
        </w:rPr>
      </w:pPr>
    </w:p>
    <w:p w:rsidR="006B1A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74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746" inset="0,0,0,0">
              <w:txbxContent>
                <w:p w:rsidR="006B1A47" w:rsidRDefault="006B1A47">
                  <w:r>
                    <w:rPr>
                      <w:rtl/>
                    </w:rPr>
                    <w:t>2                                           ספר החוקים 1434                  י"ג בתשרי התשנ"ד 28.09.1993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47" o:spid="_x0000_s1026" type="#_x0000_t202" style="position:absolute;left:0;text-align:left;margin-left:103.3pt;margin-top:588pt;width:378pt;height:160pt;z-index:7;mso-position-horizontal-relative:page;mso-position-vertical-relative:page" stroked="f">
            <v:textbox style="mso-next-textbox:#_x0000_s41747" inset="0,0,0,0">
              <w:txbxContent>
                <w:p w:rsidR="006B1A47" w:rsidRDefault="006B1A47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בתשרי התשנ"ד (25 בספטמבר 1993); הצעת החוק ודברי הסבר פורסמו בהצעות חוק</w:t>
                  </w:r>
                </w:p>
                <w:p w:rsidR="006B1A47" w:rsidRDefault="006B1A4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2194, מיום י' באב התשנ''ג (26 ביולי 1993), עמ' 285.</w:t>
                  </w:r>
                </w:p>
                <w:p w:rsidR="006B1A47" w:rsidRPr="006B1A47" w:rsidRDefault="006B1A47">
                  <w:pPr>
                    <w:pStyle w:val="OCRStyle1"/>
                    <w:ind w:left="11"/>
                  </w:pPr>
                  <w:r>
                    <w:rPr>
                      <w:rtl/>
                    </w:rPr>
                    <w:t>י ס"ח התשמ"א, עמ' 208; התשנ''ב, עמ' .203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48" o:spid="_x0000_s1027" type="#_x0000_t202" style="position:absolute;left:0;text-align:left;margin-left:246.25pt;margin-top:533.75pt;width:75.65pt;height:33.45pt;z-index:6;mso-position-horizontal-relative:page;mso-position-vertical-relative:page" stroked="f">
            <v:textbox style="mso-next-textbox:#_x0000_s41748" inset="0,0,0,0">
              <w:txbxContent>
                <w:p w:rsidR="006B1A47" w:rsidRDefault="006B1A4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B1A47" w:rsidRDefault="006B1A47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49" o:spid="_x0000_s1028" type="#_x0000_t202" style="position:absolute;left:0;text-align:left;margin-left:113.6pt;margin-top:504.45pt;width:130.1pt;height:28.5pt;z-index:5;mso-position-horizontal-relative:page;mso-position-vertical-relative:page" stroked="f">
            <v:textbox style="mso-next-textbox:#_x0000_s41749" inset="0,0,0,0">
              <w:txbxContent>
                <w:p w:rsidR="006B1A47" w:rsidRDefault="006B1A4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6B1A47" w:rsidRDefault="006B1A47">
                  <w:pPr>
                    <w:pStyle w:val="OCRStyle1"/>
                    <w:ind w:left="8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50" o:spid="_x0000_s1029" type="#_x0000_t202" style="position:absolute;left:0;text-align:left;margin-left:323.65pt;margin-top:506.25pt;width:74.05pt;height:29.3pt;z-index:4;mso-position-horizontal-relative:page;mso-position-vertical-relative:page" stroked="f">
            <v:textbox style="mso-next-textbox:#_x0000_s41750" inset="0,0,0,0">
              <w:txbxContent>
                <w:p w:rsidR="006B1A47" w:rsidRDefault="006B1A47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B1A47" w:rsidRDefault="006B1A47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51" o:spid="_x0000_s1030" type="#_x0000_t202" style="position:absolute;left:0;text-align:left;margin-left:402.05pt;margin-top:532pt;width:71.5pt;height:36.25pt;z-index:3;mso-position-horizontal-relative:page;mso-position-vertical-relative:page" stroked="f">
            <v:textbox style="mso-next-textbox:#_x0000_s41751" inset="0,0,0,0">
              <w:txbxContent>
                <w:p w:rsidR="006B1A47" w:rsidRDefault="006B1A47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6B1A47" w:rsidRDefault="006B1A4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52" o:spid="_x0000_s1031" type="#_x0000_t202" style="position:absolute;left:0;text-align:left;margin-left:81.7pt;margin-top:108.45pt;width:487.3pt;height:394.2pt;z-index:2;mso-position-horizontal-relative:page;mso-position-vertical-relative:page" stroked="f">
            <v:textbox style="mso-next-textbox:#_x0000_s4175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20"/>
                    <w:gridCol w:w="1105"/>
                    <w:gridCol w:w="1433"/>
                  </w:tblGrid>
                  <w:tr w:rsidR="006B1A47" w:rsidRPr="006B1A47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6B1A47" w:rsidRDefault="006B1A4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הפיקוח על עסקי ביטוח, התשמ'א- 1981 1 (להלן - החוק העיקרי), בסעיף 68(א), בסוף</w:t>
                        </w:r>
                      </w:p>
                      <w:p w:rsidR="006B1A47" w:rsidRP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(3) יבוא 'ועדת הנהלה תהיה של שלושה, שלפחות אחד מהם הוא שופט בדימוס".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B1A47" w:rsidRP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6B1A47" w:rsidRPr="006B1A47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6B1A47" w:rsidRP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70 לחוק העיקרי יבוא: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B1A47" w:rsidRP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70א</w:t>
                        </w:r>
                      </w:p>
                    </w:tc>
                  </w:tr>
                  <w:tr w:rsidR="006B1A47">
                    <w:trPr>
                      <w:jc w:val="right"/>
                    </w:trPr>
                    <w:tc>
                      <w:tcPr>
                        <w:tcW w:w="3567" w:type="pct"/>
                      </w:tcPr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70א. (א) מנהל מורשה שנתמנה לפי סעיף 68 (א)(3)רשאי להבין תכנית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תכנית הסדר) לסילוק חבויות של המבטח למבוטחים, למוטבים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ולצדדים שלישיים, על פי חוזי ביטוח, ולנושים אחרים של המבטח (להלן -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הזכאים); תכנית הסדר יכול שתבלול שיעורי תשלומים ומועדי פרעון שונים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סדרי עדיפויות.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תכנית הסדר תגדיר סוגי זכאים ותקבע שיעורי תשלום ומועדי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אחידים לזכאים בכל סוג; בקביעת סוגי הזכאים וסדרי הקדימה ביניהם,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להעדיף זכאים שתביעתם היא בשל נזקי גוף על-פני זכאים שתביעתם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בשל נזקי רכוש, וזכאים יחידים על-פני זכאים שהם תאגידים, וכן ניתן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להעדיף זכאים על פי מידת הנזק ויכולתם לשאת בו, והכל על-פי אמות מידה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שיפורטו בתכנית ההסדר.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תכנית הסדר יכול שתכלול כללי סיווג והעדפה נוספים על אלה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קטן (ב), אם בנסיבות הענין צודק לעשות כן.'</w:t>
                        </w:r>
                      </w:p>
                    </w:tc>
                    <w:tc>
                      <w:tcPr>
                        <w:tcW w:w="624" w:type="pct"/>
                      </w:tcPr>
                      <w:p w:rsidR="006B1A47" w:rsidRP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הסדר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1A47" w:rsidRPr="006B1A47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74 לחוק העיקרי -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(ב) יבוא: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המפקח רשאי להאריך את התקופה באמור בסעיף קטן (ב) בששים ימים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נוספים, אם הדבר דרוש לצורך הכנת תכנית הסדר, ובלבד שבית המשפט לא נתן צו</w:t>
                        </w:r>
                      </w:p>
                      <w:p w:rsid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לפירוק המבטח או לכינוס נכסיו.";</w:t>
                        </w:r>
                      </w:p>
                      <w:p w:rsidR="006B1A47" w:rsidRP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'ההוראה לפי סעיף קטן (א)' יבוא 'הוראה לפי סעיף זה''.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B1A47" w:rsidRP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6B1A47" w:rsidRPr="006B1A47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6B1A47" w:rsidRP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כ'ה בטבת התשנ'ג (18 בינואר 1993).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B1A47" w:rsidRPr="006B1A47" w:rsidRDefault="006B1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B1A47" w:rsidRDefault="006B1A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753" o:spid="_x0000_s1032" type="#_x0000_t202" style="position:absolute;left:0;text-align:left;margin-left:142.1pt;margin-top:67.05pt;width:308.1pt;height:39.6pt;z-index:1;mso-position-horizontal-relative:page;mso-position-vertical-relative:page" stroked="f">
            <v:textbox style="mso-next-textbox:#_x0000_s41753" inset="0,0,0,0">
              <w:txbxContent>
                <w:p w:rsidR="006B1A47" w:rsidRPr="006B1A47" w:rsidRDefault="006B1A47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הפיקוח על עסקי ביטוח (תיקון מס' 2),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1A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F7494D-E287-4FC6-AA0C-659BA10E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1A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2008-04-07T09:25:00Z</dcterms:created>
  <dcterms:modified xsi:type="dcterms:W3CDTF">2008-04-07T09:26:00Z</dcterms:modified>
</cp:coreProperties>
</file>