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3973" w:rsidRDefault="00B63973">
      <w:pPr>
        <w:rPr>
          <w:rtl/>
        </w:rPr>
      </w:pPr>
    </w:p>
    <w:p w:rsidR="00B639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754" inset="0,0,0,0">
              <w:txbxContent>
                <w:p w:rsidR="00455F7B" w:rsidRDefault="00455F7B">
                  <w:r>
                    <w:rPr>
                      <w:rtl/>
                    </w:rPr>
                    <w:t>106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5" o:spid="_x0000_s1026" type="#_x0000_t202" style="position:absolute;left:0;text-align:left;margin-left:80.55pt;margin-top:639.55pt;width:407.1pt;height:100.6pt;z-index:3;mso-position-horizontal-relative:page;mso-position-vertical-relative:page" stroked="f">
            <v:textbox style="mso-next-textbox:#_x0000_s41755" inset="0,0,0,0">
              <w:txbxContent>
                <w:p w:rsidR="00455F7B" w:rsidRDefault="00455F7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. נתקבל בבנסת ביום ב' בניסן התשנ'ד (14 במרס 1994); הצעת החוק ודברי הסבר פורסמו בהצעות חוק 2197,</w:t>
                  </w:r>
                </w:p>
                <w:p w:rsidR="00455F7B" w:rsidRDefault="00455F7B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מיום י"א באב התשנ''ג (29 ביולי 1993), עמ' 299.</w:t>
                  </w:r>
                </w:p>
                <w:p w:rsidR="00455F7B" w:rsidRDefault="00455F7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 ס'ח התשמ'א, עמ' 232: התש"ן, עמ' 118.</w:t>
                  </w:r>
                </w:p>
                <w:p w:rsidR="00455F7B" w:rsidRDefault="00455F7B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  <w:p w:rsidR="00455F7B" w:rsidRDefault="00455F7B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3 ס'ח התשכ"א, עמ' .84</w:t>
                  </w:r>
                </w:p>
                <w:p w:rsidR="00455F7B" w:rsidRPr="00B63973" w:rsidRDefault="00455F7B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4 ס'ח התשכ"ח, עמ'  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6" o:spid="_x0000_s1027" type="#_x0000_t202" style="position:absolute;left:0;text-align:left;margin-left:79.6pt;margin-top:85.95pt;width:479.55pt;height:553.4pt;z-index:2;mso-position-horizontal-relative:page;mso-position-vertical-relative:page" stroked="f">
            <v:textbox style="mso-next-textbox:#_x0000_s417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2"/>
                    <w:gridCol w:w="1393"/>
                    <w:gridCol w:w="1471"/>
                  </w:tblGrid>
                  <w:tr w:rsidR="00455F7B" w:rsidRPr="00B6397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455F7B" w:rsidRDefault="00455F7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 לחוק הבנקאות (רישוי), התשמ"א-1981 1 (להלן - החוק העיקרי), בהגדרת "בעל</w:t>
                        </w:r>
                      </w:p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ענין'', במקום "עשרים וחמישה אחוזים או יותר" יבוא ''יותר מעשרים וחמישה אחוזים".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55F7B" w:rsidRPr="00B6397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 לחוק העיקרי, בסעיף קטן (א)(2), במקום 'שלוש שנים' יבוא 'שש שנים'.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455F7B" w:rsidRPr="00B6397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פרק ג'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ג'1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3357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'פרק ג' 1: החזקת אמצעי שליטה בידי משקיעים מוסדיים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4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3357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בפרק זה -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"משקיע מוסדי"- כל אחד מאלה: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שהוא קופת גמל כמשמעותה בסעיף 47 לפקודת מס הכנסה 2,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מנהל קופת גמל כאמור, לגבי כל קופות הגמל שבניהולו;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קרן כמשמעותו בחוק להשקעות משותפות בנאמנות,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התשכ'א-1961  3, לגבי כל הקרנות שבניהולו;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אחר המחזיק או המנהל כספי אחרים ואשר שר האוצר,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הנגיד, קבע בי הוראות פרק זה יחולו עליו;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'משקיעים מוסדיים קשורים" - משקיעים מוסדיים הנשלטים בידי אותו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 או בידי תאגיד החזקה בנקאית של אותו תאגיד בנקאי, וכן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משקיעים מוסדיים שאינם נשלטים בירי תאגיד בנקאי או בידי תאגיד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בנקאית כאמור אך מתנהלים בירי תאגיד כאמור ושבועדת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שלהם יש חבר שהוא עובד או דירקטור בתאגיד כאמור;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"מניות" - מניות וניירות ערך המירים למניות, הנסחרים בבורסה כמשמעותה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ניירות ערך, התשכ"ח- 1968 4.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3357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משקיע מוסדי לא יחזיק באמצעי שליטה בתאגיד בנקאי השולט בו או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בנקאי הנשלט בידי תאגיד החזקה בנקאית השולט גם במשקיע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המוסדי.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משקיע מוסדי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3357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משקיעים מוסדיים קשורים לא יחזיקו, כולם ביחד, באמצעי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של תאגיד בנקאי אחר בשיעור העולה על עשרה אחוזים מכל סוג של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שליטה.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חלקו של כל אחד מן המשקיעים המוסריים הקשורים בשיעור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המותר באמצעי שליטה כאמור בסעיף קטן (א), ייקבע אחת לרבעון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החלק היחסי של שווי השקעותיו במניות מתוך שווי סך כל ההשקעות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במניות של כל המשקיעים המוסדיים הקשורים.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מהיום ה-14 לחודשים דצמבר, מרס, יוני וספטמבר של כל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ידווח משקיע מוסדי קשור לתאגיד הבנקאי השולט בו או לתאגיד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של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משקיעים מוסדיים</w:t>
                        </w:r>
                      </w:p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בנקאי</w:t>
                        </w:r>
                      </w:p>
                      <w:p w:rsidR="00455F7B" w:rsidRPr="00B63973" w:rsidRDefault="00455F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55F7B" w:rsidRDefault="00455F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55F7B" w:rsidRDefault="00455F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57" o:spid="_x0000_s1028" type="#_x0000_t202" style="position:absolute;left:0;text-align:left;margin-left:142.55pt;margin-top:65.35pt;width:290.05pt;height:19.8pt;z-index:1;mso-position-horizontal-relative:page;mso-position-vertical-relative:page" stroked="f">
            <v:textbox style="mso-next-textbox:#_x0000_s41757" inset="0,0,0,0">
              <w:txbxContent>
                <w:p w:rsidR="00455F7B" w:rsidRPr="00B63973" w:rsidRDefault="00455F7B">
                  <w:pPr>
                    <w:pStyle w:val="OCRStyle1"/>
                    <w:ind w:left="3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9), התשנ"ד-1994*</w:t>
                  </w:r>
                </w:p>
              </w:txbxContent>
            </v:textbox>
            <w10:wrap anchorx="page" anchory="page"/>
          </v:shape>
        </w:pict>
      </w:r>
    </w:p>
    <w:p w:rsidR="00A7192B" w:rsidRDefault="00A7192B">
      <w:pPr>
        <w:rPr>
          <w:rtl/>
        </w:rPr>
      </w:pPr>
      <w:r>
        <w:rPr>
          <w:rtl/>
        </w:rPr>
        <w:br w:type="page"/>
      </w:r>
    </w:p>
    <w:p w:rsidR="00A7192B" w:rsidRDefault="00000000">
      <w:pPr>
        <w:rPr>
          <w:rtl/>
        </w:rPr>
      </w:pPr>
      <w:r>
        <w:pict>
          <v:shape id="_x0000_s4175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758" inset="0,0,0,0">
              <w:txbxContent>
                <w:p w:rsidR="00455F7B" w:rsidRDefault="00455F7B">
                  <w:r>
                    <w:rPr>
                      <w:rtl/>
                    </w:rPr>
                    <w:t>107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9" o:spid="_x0000_s1030" type="#_x0000_t202" style="position:absolute;left:0;text-align:left;margin-left:333.15pt;margin-top:688.05pt;width:234.25pt;height:62.15pt;z-index:6;mso-position-horizontal-relative:page;mso-position-vertical-relative:page" stroked="f">
            <v:textbox style="mso-next-textbox:#_x0000_s41759" inset="0,0,0,0">
              <w:txbxContent>
                <w:p w:rsidR="00455F7B" w:rsidRDefault="00455F7B">
                  <w:pPr>
                    <w:pStyle w:val="OCRStyle2"/>
                    <w:ind w:left="605"/>
                  </w:pPr>
                  <w:r>
                    <w:rPr>
                      <w:rtl/>
                    </w:rPr>
                    <w:t>5 ס"ח התשל''ז,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0" o:spid="_x0000_s1031" type="#_x0000_t202" style="position:absolute;left:0;text-align:left;margin-left:91.2pt;margin-top:64.95pt;width:468.45pt;height:621.5pt;z-index:5;mso-position-horizontal-relative:page;mso-position-vertical-relative:page" stroked="f">
            <v:textbox style="mso-next-textbox:#_x0000_s417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5756"/>
                    <w:gridCol w:w="1436"/>
                  </w:tblGrid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9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הבנקאית השולט בו, לפי הענין, על שווי החזקותיו במניות בתום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החורש שקדם ליום הדיווח; התאגיד הבנקאי או תאגיד ההחזקה הבנקאית,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יחשב את החלק היחסי שמותר לכל משקיע מוסדי קשור להחזיק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שליטה כאמור בסעיף קטן (ב), ויודיע על שיעורים אלה למשקיע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המוסדי ולמפקח, עד היום ה -20 של החודשים האמורים; שיעורים אלה יחייבו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המשקיע המוסדי לגבי הרבעון המתחיל ב- 1 בינואר, 1 באפריל, 1 ביולי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 באוקטובר, לפי הענין.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עלתה החזקתו של משקיע מוסדי קשור באמצעי שליטה על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המותר לו לפי סעיף קטן (ב) כתוצאה משינוי שיעור ההחזקה המותר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כפי שנקבע בהודעה שניתנה לו כאמור בסעיף קטן (ג), יפחית את החזקתו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עד השיעור המותר לו, תוך חודש מיום קבלת ההודעה לפי סעיף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9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החזיק משקיע מוסדי אמצעי שליטה בתאגיד בנקאי בניגוד לאמור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זה, וניתנה לו התראה בכתב 14 ימים מראש, יפנה המפקח לבית משפט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מחוזי, בבקשה למתן הוראות בענין מכירת אמצעי השליטה העודפים.'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אמצעי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47 לחוק העיקרי -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פסקה (ו) יבוא: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''( 1א) עד ליום כ''א בטבת התשנ''ז (31 בדצמבר 1996) יפחתו החזקותיו של התאגיד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בתאגיד הריאלי כך שיחזיק לא יותר מעשרים וחמישה אחוזים מסוג כלשהו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אמצעי השליטה בו."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"תאגיד אחר" יבוא "תאגיד ריאלי אחר";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פחתו החזקותיו של התאגיד הבנקאי כאמור בסעיף קטן (א)(א1) יפנה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לבית המשפט המחוזי, בבקשה למנות כונס נכסים למכירת אמצעי השליטה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העודפים."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48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48 לחוק העיקרי - בטל.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49 לחוק העיקרי -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''חמש מאות אלף שקלים" יבוא "כפל הקנס הקבוע בסעיף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61(א)(4) לחוק העונשין, התשל"ז-1977 5 להלן - חוק העונשין)";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"28, 31 או 36" יבוא "27ב, 27ג, 28, 31, 36 או 47(א)(א1)",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"מאתיים אלף שקלים" יבוא "פי ארבעה מהקנס הקבוע בסעיף 61(א)(3) לחוק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העונשין".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50 לחוק העיקרי, ברישה, במקום "שעה שהתאגיד" יבוא "ולענין עבירה לפי סעיף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49(ב) - של משקיע מוסדי, שעה שהתאגיד הבנקאי או המשקיע המוסרי, לפי הענין".</w:t>
                        </w:r>
                      </w:p>
                    </w:tc>
                  </w:tr>
                  <w:tr w:rsidR="00455F7B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תוך 15 ימים מיום תחילתו של חוק זה, ידווח משקיע מוסדי קשור לתאגיד הבנקאי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השולט בו או לתאגיד ההחזקה הבנקאית השולט בו על שווי החזקותיו במניות ליום י"ז בטבת</w:t>
                        </w:r>
                      </w:p>
                      <w:p w:rsidR="00455F7B" w:rsidRDefault="00455F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(31 בדצמבר 1993), כאמור בסעיף 27(ג) לחוק העיקרי, והתאגיד הבנקאי או תאגיד</w:t>
                        </w:r>
                      </w:p>
                    </w:tc>
                  </w:tr>
                </w:tbl>
                <w:p w:rsidR="00455F7B" w:rsidRDefault="00455F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55F7B" w:rsidRDefault="00455F7B">
      <w:pPr>
        <w:rPr>
          <w:rtl/>
        </w:rPr>
      </w:pPr>
      <w:r>
        <w:rPr>
          <w:rtl/>
        </w:rPr>
        <w:br w:type="page"/>
      </w:r>
    </w:p>
    <w:p w:rsidR="00455F7B" w:rsidRDefault="00000000">
      <w:pPr>
        <w:rPr>
          <w:rtl/>
        </w:rPr>
      </w:pPr>
      <w:r>
        <w:pict>
          <v:shape id="_x0000_s4176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761" inset="0,0,0,0">
              <w:txbxContent>
                <w:p w:rsidR="00455F7B" w:rsidRDefault="00455F7B">
                  <w:r>
                    <w:rPr>
                      <w:rtl/>
                    </w:rPr>
                    <w:t>108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2" o:spid="_x0000_s1033" type="#_x0000_t202" style="position:absolute;left:0;text-align:left;margin-left:218.7pt;margin-top:189.85pt;width:84.35pt;height:31.9pt;z-index:12;mso-position-horizontal-relative:page;mso-position-vertical-relative:page" stroked="f">
            <v:textbox style="mso-next-textbox:#_x0000_s41762" inset="0,0,0,0">
              <w:txbxContent>
                <w:p w:rsidR="00455F7B" w:rsidRDefault="00455F7B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55F7B" w:rsidRDefault="00455F7B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3" o:spid="_x0000_s1034" type="#_x0000_t202" style="position:absolute;left:0;text-align:left;margin-left:88.6pt;margin-top:158pt;width:131.85pt;height:31.7pt;z-index:11;mso-position-horizontal-relative:page;mso-position-vertical-relative:page" stroked="f">
            <v:textbox style="mso-next-textbox:#_x0000_s41763" inset="0,0,0,0">
              <w:txbxContent>
                <w:p w:rsidR="00455F7B" w:rsidRDefault="00455F7B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55F7B" w:rsidRDefault="00455F7B">
                  <w:pPr>
                    <w:pStyle w:val="OCRStyle3"/>
                    <w:ind w:left="7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4" o:spid="_x0000_s1035" type="#_x0000_t202" style="position:absolute;left:0;text-align:left;margin-left:303.05pt;margin-top:162.35pt;width:78.4pt;height:30.1pt;z-index:10;mso-position-horizontal-relative:page;mso-position-vertical-relative:page" stroked="f">
            <v:textbox style="mso-next-textbox:#_x0000_s41764" inset="0,0,0,0">
              <w:txbxContent>
                <w:p w:rsidR="00455F7B" w:rsidRDefault="00455F7B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55F7B" w:rsidRDefault="00455F7B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5" o:spid="_x0000_s1036" type="#_x0000_t202" style="position:absolute;left:0;text-align:left;margin-left:385.6pt;margin-top:190.65pt;width:83.55pt;height:28.5pt;z-index:9;mso-position-horizontal-relative:page;mso-position-vertical-relative:page" stroked="f">
            <v:textbox style="mso-next-textbox:#_x0000_s41765" inset="0,0,0,0">
              <w:txbxContent>
                <w:p w:rsidR="00455F7B" w:rsidRDefault="00455F7B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55F7B" w:rsidRDefault="00455F7B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6" o:spid="_x0000_s1037" type="#_x0000_t202" style="position:absolute;left:0;text-align:left;margin-left:86.05pt;margin-top:67.7pt;width:412.45pt;height:83.35pt;z-index:8;mso-position-horizontal-relative:page;mso-position-vertical-relative:page" stroked="f">
            <v:textbox style="mso-next-textbox:#_x0000_s41766" inset="0,0,0,0">
              <w:txbxContent>
                <w:p w:rsidR="00455F7B" w:rsidRDefault="00455F7B">
                  <w:pPr>
                    <w:pStyle w:val="OCRStyle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ההחזקה הבנקאית, לפי הענין, יחשב את חלקו היחסי של כל משקיע מוסדי קשור ויודיע לו על</w:t>
                  </w:r>
                </w:p>
                <w:p w:rsidR="00455F7B" w:rsidRDefault="00455F7B">
                  <w:pPr>
                    <w:pStyle w:val="OCRStyle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כך כמפורט בסעיף 27ג(ג) האמור, תוך 15 ימים נוספים.</w:t>
                  </w:r>
                </w:p>
                <w:p w:rsidR="00455F7B" w:rsidRDefault="00455F7B">
                  <w:pPr>
                    <w:pStyle w:val="OCRStyle3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(ב) משקיע מוסדי שביום תחילתו של חוק זה החזיק באמצעי שליטה בתאגיד בנקאי</w:t>
                  </w:r>
                </w:p>
                <w:p w:rsidR="00455F7B" w:rsidRDefault="00455F7B">
                  <w:pPr>
                    <w:pStyle w:val="OCRStyle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בשיעורים העולים על המותר לו לפי פרק ג'1 לחוק העיקרי, ימכור אמצעי שליטה מהחזקותיו</w:t>
                  </w:r>
                </w:p>
                <w:p w:rsidR="00455F7B" w:rsidRDefault="00455F7B">
                  <w:pPr>
                    <w:pStyle w:val="OCRStyle3"/>
                    <w:ind w:left="468"/>
                  </w:pPr>
                  <w:r>
                    <w:rPr>
                      <w:rtl/>
                    </w:rPr>
                    <w:t>כאמור עד השיעור המותר לו, תוך שישה חודשים מיום תחילתו של חוק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39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EB328A-D16B-4D72-8DD4-44390D5F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39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7192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55F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2008-04-07T09:33:00Z</dcterms:created>
  <dcterms:modified xsi:type="dcterms:W3CDTF">2008-04-07T09:34:00Z</dcterms:modified>
</cp:coreProperties>
</file>