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871D6" w:rsidRDefault="00C871D6">
      <w:pPr>
        <w:rPr>
          <w:rtl/>
        </w:rPr>
      </w:pPr>
    </w:p>
    <w:p w:rsidR="00C871D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796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1796" inset="0,0,0,0">
              <w:txbxContent>
                <w:p w:rsidR="00C871D6" w:rsidRDefault="00C871D6">
                  <w:r>
                    <w:rPr>
                      <w:rtl/>
                    </w:rPr>
                    <w:t>154                                         ספר החוקים 1468                  י"ד בתמוז התשנ"ד 23.06.1994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1797" o:spid="_x0000_s1026" type="#_x0000_t202" style="position:absolute;left:0;text-align:left;margin-left:98.3pt;margin-top:700.65pt;width:239.4pt;height:55.85pt;z-index:8;mso-position-horizontal-relative:page;mso-position-vertical-relative:page" stroked="f">
            <v:textbox style="mso-next-textbox:#_x0000_s41797" inset="0,0,0,0">
              <w:txbxContent>
                <w:p w:rsidR="00C871D6" w:rsidRDefault="00C871D6">
                  <w:pPr>
                    <w:pStyle w:val="OCRStyle1"/>
                    <w:rPr>
                      <w:rtl/>
                    </w:rPr>
                  </w:pPr>
                </w:p>
                <w:p w:rsidR="00C871D6" w:rsidRDefault="00C871D6">
                  <w:pPr>
                    <w:pStyle w:val="OCRStyle1"/>
                    <w:ind w:left="292"/>
                  </w:pPr>
                  <w:r>
                    <w:rPr>
                      <w:rtl/>
                    </w:rPr>
                    <w:t>סודר בסדר- צילום והודפס במדפיס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1798" o:spid="_x0000_s1027" type="#_x0000_t202" style="position:absolute;left:0;text-align:left;margin-left:104.25pt;margin-top:564.6pt;width:396pt;height:83.35pt;z-index:7;mso-position-horizontal-relative:page;mso-position-vertical-relative:page" stroked="f">
            <v:textbox style="mso-next-textbox:#_x0000_s41798" inset="0,0,0,0">
              <w:txbxContent>
                <w:p w:rsidR="00C871D6" w:rsidRDefault="00C871D6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ה' בתמוז התשנ"ד (14 ביוני 1994); הצעת החוק ודברי הסבר פורסמו בהצעות חוק 2255,</w:t>
                  </w:r>
                </w:p>
                <w:p w:rsidR="00C871D6" w:rsidRDefault="00C871D6">
                  <w:pPr>
                    <w:pStyle w:val="OCRStyle1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מיום י"ט באדר התשנ"ד (2 במרס 1994), עמ' 332,</w:t>
                  </w:r>
                </w:p>
                <w:p w:rsidR="00C871D6" w:rsidRDefault="00C871D6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1 ס'ח התשמ"א, עמ' 258; התשנ"ב, עמ' 72.</w:t>
                  </w:r>
                </w:p>
                <w:p w:rsidR="00C871D6" w:rsidRDefault="00C871D6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2 ס"ח התשמ"א, עמ' 232; התשמ"ח, עמ' .239</w:t>
                  </w:r>
                </w:p>
                <w:p w:rsidR="00C871D6" w:rsidRDefault="00C871D6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1 ס"ח התשל"ז, עמ' .226</w:t>
                  </w:r>
                </w:p>
                <w:p w:rsidR="00C871D6" w:rsidRPr="00C871D6" w:rsidRDefault="00C871D6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4 ע"ר 1941, תוס' 1, עמ' 69; ס"ח התשל"ט, עמ' .47</w:t>
                  </w:r>
                </w:p>
              </w:txbxContent>
            </v:textbox>
            <w10:wrap anchorx="page" anchory="page"/>
          </v:shape>
        </w:pict>
      </w:r>
      <w:r>
        <w:pict>
          <v:shape id="_x0000_s41799" o:spid="_x0000_s1028" type="#_x0000_t202" style="position:absolute;left:0;text-align:left;margin-left:230pt;margin-top:515.5pt;width:91.3pt;height:31.9pt;z-index:6;mso-position-horizontal-relative:page;mso-position-vertical-relative:page" stroked="f">
            <v:textbox style="mso-next-textbox:#_x0000_s41799" inset="0,0,0,0">
              <w:txbxContent>
                <w:p w:rsidR="00C871D6" w:rsidRDefault="00C871D6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C871D6" w:rsidRDefault="00C871D6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800" o:spid="_x0000_s1029" type="#_x0000_t202" style="position:absolute;left:0;text-align:left;margin-left:107.8pt;margin-top:488.75pt;width:129.9pt;height:26.55pt;z-index:5;mso-position-horizontal-relative:page;mso-position-vertical-relative:page" stroked="f">
            <v:textbox style="mso-next-textbox:#_x0000_s41800" inset="0,0,0,0">
              <w:txbxContent>
                <w:p w:rsidR="00C871D6" w:rsidRDefault="00C871D6">
                  <w:pPr>
                    <w:pStyle w:val="OCRStyle1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C871D6" w:rsidRDefault="00C871D6">
                  <w:pPr>
                    <w:pStyle w:val="OCRStyle1"/>
                    <w:ind w:left="713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1801" o:spid="_x0000_s1030" type="#_x0000_t202" style="position:absolute;left:0;text-align:left;margin-left:322.05pt;margin-top:489.55pt;width:79.2pt;height:28.5pt;z-index:4;mso-position-horizontal-relative:page;mso-position-vertical-relative:page" stroked="f">
            <v:textbox style="mso-next-textbox:#_x0000_s41801" inset="0,0,0,0">
              <w:txbxContent>
                <w:p w:rsidR="00C871D6" w:rsidRDefault="00C871D6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C871D6" w:rsidRDefault="00C871D6">
                  <w:pPr>
                    <w:pStyle w:val="OCRStyle1"/>
                    <w:ind w:left="20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802" o:spid="_x0000_s1031" type="#_x0000_t202" style="position:absolute;left:0;text-align:left;margin-left:412.55pt;margin-top:516.3pt;width:68.9pt;height:32.65pt;z-index:3;mso-position-horizontal-relative:page;mso-position-vertical-relative:page" stroked="f">
            <v:textbox style="mso-next-textbox:#_x0000_s41802" inset="0,0,0,0">
              <w:txbxContent>
                <w:p w:rsidR="00C871D6" w:rsidRDefault="00C871D6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C871D6" w:rsidRDefault="00C871D6">
                  <w:pPr>
                    <w:pStyle w:val="OCRStyle1"/>
                    <w:ind w:left="15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803" o:spid="_x0000_s1032" type="#_x0000_t202" style="position:absolute;left:0;text-align:left;margin-left:86.25pt;margin-top:105.65pt;width:482.15pt;height:382.95pt;z-index:2;mso-position-horizontal-relative:page;mso-position-vertical-relative:page" stroked="f">
            <v:textbox style="mso-next-textbox:#_x0000_s41803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06"/>
                    <w:gridCol w:w="1194"/>
                    <w:gridCol w:w="1368"/>
                  </w:tblGrid>
                  <w:tr w:rsidR="00C871D6" w:rsidRPr="00C871D6">
                    <w:trPr>
                      <w:jc w:val="right"/>
                    </w:trPr>
                    <w:tc>
                      <w:tcPr>
                        <w:tcW w:w="4220" w:type="pct"/>
                        <w:gridSpan w:val="2"/>
                      </w:tcPr>
                      <w:p w:rsidR="00C871D6" w:rsidRDefault="00C871D6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הבנקאות (שירות ללקוח). התשמ''א- 1981 1(להלן - החוק העיקרי), אחרי סעיף 9</w:t>
                        </w:r>
                      </w:p>
                      <w:p w:rsidR="00C871D6" w:rsidRPr="00C871D6" w:rsidRDefault="00C871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יבוא-.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C871D6" w:rsidRPr="00C871D6" w:rsidRDefault="00C871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9א</w:t>
                        </w:r>
                      </w:p>
                    </w:tc>
                  </w:tr>
                  <w:tr w:rsidR="00C871D6">
                    <w:trPr>
                      <w:jc w:val="right"/>
                    </w:trPr>
                    <w:tc>
                      <w:tcPr>
                        <w:tcW w:w="3539" w:type="pct"/>
                      </w:tcPr>
                      <w:p w:rsidR="00C871D6" w:rsidRDefault="00C871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9א. (א) פרע לקוח, בעצמו ולא באמצעות ערב, את כל חיוביו שלהבטחתם</w:t>
                        </w:r>
                      </w:p>
                      <w:p w:rsidR="00C871D6" w:rsidRDefault="00C871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נוצרו שעבודים, יבטל התאגיד הבנקאי את השעבודים ואם הנכסים ששועבדו</w:t>
                        </w:r>
                      </w:p>
                      <w:p w:rsidR="00C871D6" w:rsidRDefault="00C871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נמצאים בחזקתו, יעמידם לרשות הלקוח או הממשכן תוך שבועיים מיום</w:t>
                        </w:r>
                      </w:p>
                      <w:p w:rsidR="00C871D6" w:rsidRDefault="00C871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הפרעון; היה השעבוד משכנתה או משכון רשום, יגיש התאגיד הבנקאי, תוך</w:t>
                        </w:r>
                      </w:p>
                      <w:p w:rsidR="00C871D6" w:rsidRDefault="00C871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 ימים מיום הפרעון, הודעה על מחיקת השעבוד למי שאצלו הוא נרשם, היה</w:t>
                        </w:r>
                      </w:p>
                      <w:p w:rsidR="00C871D6" w:rsidRDefault="00C871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התאגיד הבנקאי בנק למשכנתאות כמשמעותו בחוק הבנקאות (רישוי),</w:t>
                        </w:r>
                      </w:p>
                      <w:p w:rsidR="00C871D6" w:rsidRDefault="00C871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התשמ"א-1981 2, רשאי הוא להגיש את ההודעה האמורה תוך 60 ימים מיום</w:t>
                        </w:r>
                      </w:p>
                      <w:p w:rsidR="00C871D6" w:rsidRDefault="00C871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הפרעון.</w:t>
                        </w:r>
                      </w:p>
                      <w:p w:rsidR="00C871D6" w:rsidRDefault="00C871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קטן (א) לא יחולו כל עוד לא נפרעו כל חיוביו של</w:t>
                        </w:r>
                      </w:p>
                      <w:p w:rsidR="00C871D6" w:rsidRDefault="00C871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הלקוח המובטחים על ידי אותם שעבודים; היה החיוב שנפרע מסוג חיוב</w:t>
                        </w:r>
                      </w:p>
                      <w:p w:rsidR="00C871D6" w:rsidRDefault="00C871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מתחדש, יבוטלו השעבודים רק אם הלקוח ביקש לבטלם, והמועד שבו הגיעה</w:t>
                        </w:r>
                      </w:p>
                      <w:p w:rsidR="00C871D6" w:rsidRDefault="00C871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בקשתו לסניף התאגיד הבנקאי שבו התנהלו חיוביו ייחשב כיום הפרעון</w:t>
                        </w:r>
                      </w:p>
                      <w:p w:rsidR="00C871D6" w:rsidRDefault="00C871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לצורך המועדים האמורים בסעיף קטן (א).</w:t>
                        </w:r>
                      </w:p>
                      <w:p w:rsidR="00C871D6" w:rsidRDefault="00C871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הוצאות מחיקת רישום משכנתה או משכון כאמור יחולו על</w:t>
                        </w:r>
                      </w:p>
                      <w:p w:rsidR="00C871D6" w:rsidRDefault="00C871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התאגיד הבנקאי.''</w:t>
                        </w:r>
                      </w:p>
                    </w:tc>
                    <w:tc>
                      <w:tcPr>
                        <w:tcW w:w="681" w:type="pct"/>
                      </w:tcPr>
                      <w:p w:rsidR="00C871D6" w:rsidRPr="00C871D6" w:rsidRDefault="00C871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-ביטול שעבודים</w:t>
                        </w:r>
                      </w:p>
                    </w:tc>
                    <w:tc>
                      <w:tcPr>
                        <w:tcW w:w="780" w:type="pct"/>
                      </w:tcPr>
                      <w:p w:rsidR="00C871D6" w:rsidRDefault="00C871D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C871D6" w:rsidRPr="00C871D6">
                    <w:trPr>
                      <w:jc w:val="right"/>
                    </w:trPr>
                    <w:tc>
                      <w:tcPr>
                        <w:tcW w:w="4220" w:type="pct"/>
                        <w:gridSpan w:val="2"/>
                      </w:tcPr>
                      <w:p w:rsidR="00C871D6" w:rsidRDefault="00C871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10 לחוק העיקרי, במקום ''קנס 150,000 שקלים" יבוא:</w:t>
                        </w:r>
                      </w:p>
                      <w:p w:rsidR="00C871D6" w:rsidRPr="00C871D6" w:rsidRDefault="00C871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"כפל הקנס הקבוע בסעיף 61(א)(3) לחוק העונשין, התשל'ז- 1977 3."</w:t>
                        </w:r>
                      </w:p>
                    </w:tc>
                    <w:tc>
                      <w:tcPr>
                        <w:tcW w:w="780" w:type="pct"/>
                      </w:tcPr>
                      <w:p w:rsidR="00C871D6" w:rsidRPr="00C871D6" w:rsidRDefault="00C871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</w:tr>
                  <w:tr w:rsidR="00C871D6" w:rsidRPr="00C871D6">
                    <w:trPr>
                      <w:jc w:val="right"/>
                    </w:trPr>
                    <w:tc>
                      <w:tcPr>
                        <w:tcW w:w="4220" w:type="pct"/>
                        <w:gridSpan w:val="2"/>
                      </w:tcPr>
                      <w:p w:rsidR="00C871D6" w:rsidRPr="00C871D6" w:rsidRDefault="00C871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אחרי סעיף 17 לחוק העיקרי יבוא:</w:t>
                        </w:r>
                      </w:p>
                    </w:tc>
                    <w:tc>
                      <w:tcPr>
                        <w:tcW w:w="780" w:type="pct"/>
                      </w:tcPr>
                      <w:p w:rsidR="00C871D6" w:rsidRPr="00C871D6" w:rsidRDefault="00C871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17א</w:t>
                        </w:r>
                      </w:p>
                    </w:tc>
                  </w:tr>
                  <w:tr w:rsidR="00C871D6">
                    <w:trPr>
                      <w:jc w:val="right"/>
                    </w:trPr>
                    <w:tc>
                      <w:tcPr>
                        <w:tcW w:w="3539" w:type="pct"/>
                      </w:tcPr>
                      <w:p w:rsidR="00C871D6" w:rsidRDefault="00C871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17א. הוראות חוק זה יחולו גם על מי שערב ללקוח כלפי תאגיד בנקאי.''</w:t>
                        </w:r>
                      </w:p>
                    </w:tc>
                    <w:tc>
                      <w:tcPr>
                        <w:tcW w:w="681" w:type="pct"/>
                      </w:tcPr>
                      <w:p w:rsidR="00C871D6" w:rsidRDefault="00C871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'תחולת החוק</w:t>
                        </w:r>
                      </w:p>
                      <w:p w:rsidR="00C871D6" w:rsidRPr="00C871D6" w:rsidRDefault="00C871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ערב</w:t>
                        </w:r>
                      </w:p>
                    </w:tc>
                    <w:tc>
                      <w:tcPr>
                        <w:tcW w:w="780" w:type="pct"/>
                      </w:tcPr>
                      <w:p w:rsidR="00C871D6" w:rsidRDefault="00C871D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C871D6" w:rsidRPr="00C871D6">
                    <w:trPr>
                      <w:jc w:val="right"/>
                    </w:trPr>
                    <w:tc>
                      <w:tcPr>
                        <w:tcW w:w="4220" w:type="pct"/>
                        <w:gridSpan w:val="2"/>
                      </w:tcPr>
                      <w:p w:rsidR="00C871D6" w:rsidRPr="00C871D6" w:rsidRDefault="00C871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סעיף 12א לפקודת הבנקאות, 1941 4 - בטל.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C871D6" w:rsidRDefault="00C871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פקודה</w:t>
                        </w:r>
                      </w:p>
                      <w:p w:rsidR="00C871D6" w:rsidRPr="00C871D6" w:rsidRDefault="00C871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הבנקאות-מס' 18</w:t>
                        </w:r>
                      </w:p>
                    </w:tc>
                  </w:tr>
                </w:tbl>
                <w:p w:rsidR="00C871D6" w:rsidRDefault="00C871D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804" o:spid="_x0000_s1033" type="#_x0000_t202" style="position:absolute;left:0;text-align:left;margin-left:137.15pt;margin-top:82.45pt;width:320.95pt;height:20.6pt;z-index:1;mso-position-horizontal-relative:page;mso-position-vertical-relative:page" stroked="f">
            <v:textbox style="mso-next-textbox:#_x0000_s41804" inset="0,0,0,0">
              <w:txbxContent>
                <w:p w:rsidR="00C871D6" w:rsidRPr="00C871D6" w:rsidRDefault="00C871D6">
                  <w:pPr>
                    <w:pStyle w:val="OCRStyle1"/>
                    <w:ind w:left="6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הבנקאות (שירות ללקוח) (תיקון מס' 2), התשנ"ד-1994*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871D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71D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44157C7-BF12-4AEB-B732-7C0407545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871D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2008-04-07T09:37:00Z</dcterms:created>
  <dcterms:modified xsi:type="dcterms:W3CDTF">2008-04-07T09:37:00Z</dcterms:modified>
</cp:coreProperties>
</file>