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E74B2" w:rsidRDefault="004E74B2">
      <w:pPr>
        <w:rPr>
          <w:rtl/>
        </w:rPr>
      </w:pPr>
    </w:p>
    <w:p w:rsidR="004E74B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89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1892" inset="0,0,0,0">
              <w:txbxContent>
                <w:p w:rsidR="004E48BF" w:rsidRDefault="004E48BF">
                  <w:r>
                    <w:rPr>
                      <w:rtl/>
                    </w:rPr>
                    <w:t>123                                         ספר החוקים 1459                  י"ב בניסן התשנ"ד 24.03.1994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93" o:spid="_x0000_s1026" type="#_x0000_t202" style="position:absolute;left:0;text-align:left;margin-left:123.7pt;margin-top:670.2pt;width:420.95pt;height:76.65pt;z-index:3;mso-position-horizontal-relative:page;mso-position-vertical-relative:page" stroked="f">
            <v:textbox style="mso-next-textbox:#_x0000_s41893" inset="0,0,0,0">
              <w:txbxContent>
                <w:p w:rsidR="004E48BF" w:rsidRDefault="004E48BF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בניסן התשנ"ד (16 במרס 1994); הצעת החוק ודברי הסבר פורסמו בהצעות חוק 2206,</w:t>
                  </w:r>
                </w:p>
                <w:p w:rsidR="004E48BF" w:rsidRDefault="004E48BF">
                  <w:pPr>
                    <w:pStyle w:val="OCRStyle1"/>
                    <w:ind w:left="590"/>
                    <w:rPr>
                      <w:rtl/>
                    </w:rPr>
                  </w:pPr>
                  <w:r>
                    <w:rPr>
                      <w:rtl/>
                    </w:rPr>
                    <w:t>מיום כ"ט באב התשנ"ג (16 באוגוסט 1993), עמ' 369.</w:t>
                  </w:r>
                </w:p>
                <w:p w:rsidR="004E48BF" w:rsidRDefault="004E48BF">
                  <w:pPr>
                    <w:pStyle w:val="OCRStyle1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1 ס"ח התשכ"א, עמ' 130; התשמ"ו, עמ' 164.</w:t>
                  </w:r>
                </w:p>
                <w:p w:rsidR="004E48BF" w:rsidRPr="004E74B2" w:rsidRDefault="004E48BF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2 ס"ח התשכ"ה, עמ' 307.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94" o:spid="_x0000_s1027" type="#_x0000_t202" style="position:absolute;left:0;text-align:left;margin-left:77.2pt;margin-top:463.7pt;width:470.05pt;height:206.3pt;z-index:2;mso-position-horizontal-relative:page;mso-position-vertical-relative:page" stroked="f">
            <v:textbox style="mso-next-textbox:#_x0000_s4189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6"/>
                    <w:gridCol w:w="7250"/>
                  </w:tblGrid>
                  <w:tr w:rsidR="004E48BF" w:rsidRPr="004E74B2">
                    <w:trPr>
                      <w:jc w:val="right"/>
                    </w:trPr>
                    <w:tc>
                      <w:tcPr>
                        <w:tcW w:w="758" w:type="pct"/>
                      </w:tcPr>
                      <w:p w:rsidR="004E48BF" w:rsidRPr="004E74B2" w:rsidRDefault="004E48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 ופרשנות</w:t>
                        </w:r>
                      </w:p>
                    </w:tc>
                    <w:tc>
                      <w:tcPr>
                        <w:tcW w:w="4242" w:type="pct"/>
                      </w:tcPr>
                      <w:p w:rsidR="004E48BF" w:rsidRDefault="004E48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בחוק זה -</w:t>
                        </w:r>
                      </w:p>
                      <w:p w:rsidR="004E48BF" w:rsidRDefault="004E48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''שטר הזכיון" - שטר הזכיון שבתוספת לחוק זכיון ים המלח, התשכ'א-1961 1;</w:t>
                        </w:r>
                      </w:p>
                      <w:p w:rsidR="004E48BF" w:rsidRDefault="004E48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הזכיון'' ו''המפעל' - כמשמעותו בשטר הזכיון;</w:t>
                        </w:r>
                      </w:p>
                      <w:p w:rsidR="004E48BF" w:rsidRDefault="004E48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''שטח הזכיון" - הקרקעות החבורות, הקרקעות השמורות וים המלח, כמשמעותם בשטר</w:t>
                        </w:r>
                      </w:p>
                      <w:p w:rsidR="004E48BF" w:rsidRDefault="004E48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הזכיון;</w:t>
                        </w:r>
                      </w:p>
                      <w:p w:rsidR="004E48BF" w:rsidRDefault="004E48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''הועדה'' - הועדה שהוקמה לפי סעיף 2;</w:t>
                        </w:r>
                      </w:p>
                      <w:p w:rsidR="004E48BF" w:rsidRDefault="004E48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''ועדת הערר'' - ועדת הערר שהוקמה לפי סעיף 3;</w:t>
                        </w:r>
                      </w:p>
                      <w:p w:rsidR="004E48BF" w:rsidRDefault="004E48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'הועדה המחוזית' - הועדה המחוזית לתכנון ולבניה מחוז הדרום;</w:t>
                        </w:r>
                      </w:p>
                      <w:p w:rsidR="004E48BF" w:rsidRDefault="004E48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'הועדה המקומית' - הועדה המקומית לתכנון ולבניה ששטח הזכיון נמצא בתחומה;</w:t>
                        </w:r>
                      </w:p>
                      <w:p w:rsidR="004E48BF" w:rsidRDefault="004E48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התכנון" - חוק התכנון והבניה, התשכ"ה-1965 2;</w:t>
                        </w:r>
                      </w:p>
                      <w:p w:rsidR="004E48BF" w:rsidRDefault="004E48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'יום התחילה' - יום קבלתו של חוק זה בכנסת;</w:t>
                        </w:r>
                      </w:p>
                      <w:p w:rsidR="004E48BF" w:rsidRPr="004E74B2" w:rsidRDefault="004E48B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'העבודות' - כל אחת מן העבודות המפורטות בתוספת.</w:t>
                        </w:r>
                      </w:p>
                    </w:tc>
                  </w:tr>
                </w:tbl>
                <w:p w:rsidR="004E48BF" w:rsidRDefault="004E48B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895" o:spid="_x0000_s1028" type="#_x0000_t202" style="position:absolute;left:0;text-align:left;margin-left:153pt;margin-top:431.85pt;width:383.15pt;height:29.3pt;z-index:1;mso-position-horizontal-relative:page;mso-position-vertical-relative:page" stroked="f">
            <v:textbox style="mso-next-textbox:#_x0000_s41895" inset="0,0,0,0">
              <w:txbxContent>
                <w:p w:rsidR="004E48BF" w:rsidRDefault="004E48BF">
                  <w:pPr>
                    <w:pStyle w:val="OCRStyle1"/>
                    <w:ind w:left="49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זכיון ים המלח (תכנון ובניה) (הוראות שעה לעבודות מסוימות),</w:t>
                  </w:r>
                </w:p>
                <w:p w:rsidR="004E48BF" w:rsidRPr="004E74B2" w:rsidRDefault="004E48BF">
                  <w:pPr>
                    <w:pStyle w:val="OCRStyle1"/>
                    <w:ind w:left="2790"/>
                  </w:pPr>
                  <w:r>
                    <w:rPr>
                      <w:sz w:val="20"/>
                      <w:szCs w:val="20"/>
                      <w:rtl/>
                    </w:rPr>
                    <w:t>התשנ"ד-1994*</w:t>
                  </w:r>
                </w:p>
              </w:txbxContent>
            </v:textbox>
            <w10:wrap anchorx="page" anchory="page"/>
          </v:shape>
        </w:pict>
      </w:r>
    </w:p>
    <w:p w:rsidR="00E41C89" w:rsidRDefault="00E41C89">
      <w:pPr>
        <w:rPr>
          <w:rtl/>
        </w:rPr>
      </w:pPr>
      <w:r>
        <w:rPr>
          <w:rtl/>
        </w:rPr>
        <w:br w:type="page"/>
      </w:r>
    </w:p>
    <w:p w:rsidR="00E41C89" w:rsidRDefault="00000000">
      <w:pPr>
        <w:rPr>
          <w:rtl/>
        </w:rPr>
      </w:pPr>
      <w:r>
        <w:pict>
          <v:shape id="_x0000_s4189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1896" inset="0,0,0,0">
              <w:txbxContent>
                <w:p w:rsidR="004E48BF" w:rsidRDefault="004E48BF">
                  <w:r>
                    <w:rPr>
                      <w:rtl/>
                    </w:rPr>
                    <w:t>124                                         ספר החוקים 1459                  י"ב בניסן התשנ"ד 24.03.1994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897" o:spid="_x0000_s1030" type="#_x0000_t202" style="position:absolute;left:0;text-align:left;margin-left:92.9pt;margin-top:722.5pt;width:219.6pt;height:31.9pt;z-index:6;mso-position-horizontal-relative:page;mso-position-vertical-relative:page" stroked="f">
            <v:textbox style="mso-next-textbox:#_x0000_s41897" inset="0,0,0,0">
              <w:txbxContent>
                <w:p w:rsidR="004E48BF" w:rsidRDefault="004E48B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1898" o:spid="_x0000_s1031" type="#_x0000_t202" style="position:absolute;left:0;text-align:left;margin-left:100.6pt;margin-top:61.4pt;width:467.5pt;height:639.75pt;z-index:5;mso-position-horizontal-relative:page;mso-position-vertical-relative:page" stroked="f">
            <v:textbox style="mso-next-textbox:#_x0000_s4189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5"/>
                    <w:gridCol w:w="1205"/>
                  </w:tblGrid>
                  <w:tr w:rsidR="004E48BF" w:rsidRPr="00E41C89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לכל מונח אחר בחוק זה תהיה המשמעות שיש לו בחוק התכנון ובתקנות שלפיו,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משתמע אחרת.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מוקמת בזה ועדה שסמכותה תהיה להציב דרישות בקשר עם ביצוע העבודות,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לחוק זה, ולפקח על מילוין.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תהיה מורכבת מחברים אלה: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יושב ראש הועדה המחוזית או נציגו;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מתכנן מחוז הדרום או נציגו;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יושב ראש הועדה המקומית או נציגו;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מהנדס הועדה המקומית או נציגו;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השר לאיכות הסביבה;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שר האוצר;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נציג שר התעשיה והמסחר;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נציג שר התיירות;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חבר שאינו עובד המדינה או עובד רשות מקומית, הבקיא בענייני תכנון ובניה,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שמינה שר הפנים.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יושב ראש הועדה המחוזית יכהן כיושב ראש הועדה ובהעדרו יכהן כאמור יושב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הועדה המקומית.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מהנדס הועדה המקומית ישמש מזכיר הועדה.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לשכות התכנון המחוזית והמקומי-8' "ישטח הזכיון נמצא בתחומן, יתנו לועדה סיוע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מינהלי ומקצועי</w:t>
                        </w:r>
                      </w:p>
                    </w:tc>
                    <w:tc>
                      <w:tcPr>
                        <w:tcW w:w="709" w:type="pct"/>
                      </w:tcPr>
                      <w:p w:rsidR="004E48BF" w:rsidRPr="00E41C89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</w:t>
                        </w:r>
                      </w:p>
                    </w:tc>
                  </w:tr>
                  <w:tr w:rsidR="004E48BF" w:rsidRPr="00E41C89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מוקמת בזה ועדת משנה של המועצי הארצית שתשמש ועדת ערר שבסמכותה לדון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בעררים על החלטות הועדה.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הערר תהיה מורכבת מחברים אלה;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יושב ראש המועצה הארצית או נציגו, והוא יכהן כיושב ראש ועדת הערר;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נציגי שר האוצר, השר לאיכות הסביבה, שר המשפטים, שר התיירות ושר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התעשיה והמסחר; היו בין חברי המועצה הארצית לפי סעיף 2(ב)(2) לחוק התכנון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נציגים של השרים האמורים, יהיו נציגים אלה חברי ועדת הערר;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)3( שני חברי המועצה הארצית שתבחר המועצה מבין החברים לפי סעיף 2 (ב)(3)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2(ב)(14) לחוק התכנון, ובלבד שאחד מהם יהיה מבין החברים לפי סעיף 2(ב)(5)</w:t>
                        </w:r>
                      </w:p>
                      <w:p w:rsidR="004E48BF" w:rsidRPr="00E41C89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2(ב)(13).</w:t>
                        </w:r>
                      </w:p>
                    </w:tc>
                    <w:tc>
                      <w:tcPr>
                        <w:tcW w:w="709" w:type="pct"/>
                      </w:tcPr>
                      <w:p w:rsidR="004E48BF" w:rsidRPr="00E41C89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ערר</w:t>
                        </w:r>
                      </w:p>
                    </w:tc>
                  </w:tr>
                  <w:tr w:rsidR="004E48BF" w:rsidRPr="00E41C89">
                    <w:trPr>
                      <w:jc w:val="right"/>
                    </w:trPr>
                    <w:tc>
                      <w:tcPr>
                        <w:tcW w:w="4291" w:type="pct"/>
                      </w:tcPr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במילוי תפקידיהן, רשאיות הועדה וועדת הערר להתייעץ בכל אדם, גוף או רשות,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שימצאו לנבון.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סימן ו' לפרק ב' לחוק התכנון, למעט סעיף 48, יחולו על הועדה ועל ועדת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הערר, בשינויים המחויבים.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תשלום פיצויים יחולו הוראות פרק ט' לחוק התכנון בשינויים אלה: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יראו את הוראותיו של חוק זה המתירות את ביצוע העבודות כאילו היו</w:t>
                        </w:r>
                      </w:p>
                      <w:p w:rsidR="004E48BF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תכנית;</w:t>
                        </w:r>
                      </w:p>
                      <w:p w:rsidR="004E48BF" w:rsidRPr="00E41C89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הועדה המקומית יבוא בעל הזכיון;</w:t>
                        </w:r>
                      </w:p>
                    </w:tc>
                    <w:tc>
                      <w:tcPr>
                        <w:tcW w:w="709" w:type="pct"/>
                      </w:tcPr>
                      <w:p w:rsidR="004E48BF" w:rsidRPr="00E41C89" w:rsidRDefault="004E48B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כלליות</w:t>
                        </w:r>
                      </w:p>
                    </w:tc>
                  </w:tr>
                </w:tbl>
                <w:p w:rsidR="004E48BF" w:rsidRDefault="004E48B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C5E9C" w:rsidRDefault="00CC5E9C">
      <w:pPr>
        <w:rPr>
          <w:rtl/>
        </w:rPr>
      </w:pPr>
      <w:r>
        <w:rPr>
          <w:rtl/>
        </w:rPr>
        <w:br w:type="page"/>
      </w:r>
    </w:p>
    <w:p w:rsidR="00CC5E9C" w:rsidRDefault="00000000">
      <w:pPr>
        <w:rPr>
          <w:rtl/>
        </w:rPr>
      </w:pPr>
      <w:r>
        <w:pict>
          <v:shape id="_x0000_s41899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1899" inset="0,0,0,0">
              <w:txbxContent>
                <w:p w:rsidR="004E48BF" w:rsidRDefault="004E48BF">
                  <w:r>
                    <w:rPr>
                      <w:rtl/>
                    </w:rPr>
                    <w:t>125                                         ספר החוקים 1459                  י"ב בניסן התשנ"ד 24.03.1994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00" o:spid="_x0000_s1033" type="#_x0000_t202" style="position:absolute;left:0;text-align:left;margin-left:337.9pt;margin-top:716.35pt;width:212.65pt;height:21.6pt;z-index:9;mso-position-horizontal-relative:page;mso-position-vertical-relative:page" stroked="f">
            <v:textbox style="mso-next-textbox:#_x0000_s41900" inset="0,0,0,0">
              <w:txbxContent>
                <w:p w:rsidR="004E48BF" w:rsidRDefault="004E48B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1901" o:spid="_x0000_s1034" type="#_x0000_t202" style="position:absolute;left:0;text-align:left;margin-left:96.75pt;margin-top:67.3pt;width:448.65pt;height:645.7pt;z-index:8;mso-position-horizontal-relative:page;mso-position-vertical-relative:page" stroked="f">
            <v:textbox style="mso-next-textbox:#_x0000_s4190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5"/>
                    <w:gridCol w:w="7013"/>
                  </w:tblGrid>
                  <w:tr w:rsidR="004E48BF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98" w:type="pct"/>
                      </w:tcPr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בקביעת הפגיעה במקרקעין ומידתה יובאו בחשבון הזכויות שהיו לבעל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הזכיון, לפי שטר הזכיון, עובר ליום התחילה;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בעל הזכיון יהיה רשאי, אף הוא, להגיש ערעור לבית המשפט על החלטת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המחוזית לפי סעיף 198 לחוק התכנון.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התוספת השניה לתקנות התכנון והבניה (בקשה להיתר, תנאיו ואגרות),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התש'ל-51970, ותקנות התכנון והבניה (פיקוח עליון על הבניה), התשנ"ב- 1992 4, יחולו על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העבודות בשינויים המחויבים; ואולם הועדה רשאית לפטור את בעל הזכיון ממילוי הוראה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התקנות האמורות, אם סברה כי מן הראוי לעשות כן כדי לאזן בין שיקולים כאמור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7.</w:t>
                        </w:r>
                      </w:p>
                    </w:tc>
                  </w:tr>
                  <w:tr w:rsidR="004E48BF" w:rsidRPr="00CC5E9C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4E48BF" w:rsidRPr="00CC5E9C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עבודות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מבלי לגרוע מהאמור בהוראות שטר הזכיון ובכפוף להן, ועל אף האמור בחוק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התכנון, יראו את העבודות כאילו הותרה עשייתן על פי חוק התכנון, בכפוף להוראות חוק זה,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שתחילת ביצוען של העבודות תהיה לפני תום שנה מיום התחילה.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הוראות חוק זה לא יחולו על עבודה מן העבודות שלא</w:t>
                        </w:r>
                      </w:p>
                      <w:p w:rsidR="004E48BF" w:rsidRPr="00CC5E9C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נמסר לגביה מידע ראשוני בתוך המועד האמור בסעיף 6.</w:t>
                        </w:r>
                      </w:p>
                    </w:tc>
                  </w:tr>
                  <w:tr w:rsidR="004E48BF" w:rsidRPr="00CC5E9C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מידע</w:t>
                        </w:r>
                      </w:p>
                      <w:p w:rsidR="004E48BF" w:rsidRPr="00CC5E9C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העבודות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בעל הזכיון ימציא לועדה, תוך 21 ימים מיום התחילה, מידע מפורט בדבר כל אחת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העבודות (להלן - מידע ראשוני); יושב ראש הועדה רשאי להאריך את תקופת מסירת המידע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הראשוני ב-7 ימים נוספים.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המידע הראשוני יומצא בכל הניתן במתכונת הדומה לבקשה לקבלת היתר בצירוף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ההצהרות, ההתחייבויות והחתימות הנדרשות בהגשת בקשה כאמור.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רשאית לדרוש בכתב מבעל הזריון, תוך 30 ימים מקבלת המידע הראשוני,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מידע נוסף שיהיה דרוש לה למטרות חוק זה,  תסקיר השפעה על הסביבה ומסמכי סקר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(להלן - מידע נוסף).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מידע נוסף שבידי בעל הזכיון יומצא לועדה מיד עם קבלת דרישתה, ומידע נוסף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בידיו יושג או יוכן על ידו ויוגש במועד שתקבע הועדה.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בעל הזכיון רשאי להמשיך בביצוע העבודות בתוך המועדים שנקבעו בסעיף זה או</w:t>
                        </w:r>
                      </w:p>
                      <w:p w:rsidR="004E48BF" w:rsidRPr="00CC5E9C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לפיו, למסירת מידע ראשוני או מידע נוסף.</w:t>
                        </w:r>
                      </w:p>
                    </w:tc>
                  </w:tr>
                  <w:tr w:rsidR="004E48BF" w:rsidRPr="00CC5E9C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4E48BF" w:rsidRPr="00CC5E9C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דרישות הועדה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הועדה רשאית, בהודעה בכתב לבעל הזכיון שתימסר תוך 15 ימים מקבלת המידע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הראשוני או מקבלת כל מידע נוסף, להציב דרישות לגבי ביצוע העבודות, אם מצאה בי הדבר</w:t>
                        </w:r>
                      </w:p>
                      <w:p w:rsidR="004E48BF" w:rsidRPr="00CC5E9C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נחוץ כדי לאזן בין שיקולים של איכות הסביבה לבין ביצוע העבודות ומטרות הזכיון.</w:t>
                        </w:r>
                      </w:p>
                    </w:tc>
                  </w:tr>
                  <w:tr w:rsidR="004E48BF" w:rsidRPr="00CC5E9C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4E48BF" w:rsidRPr="00CC5E9C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298" w:type="pct"/>
                      </w:tcPr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בעל הזכיון וכן ארבעה מחברי הועדה כאחד רשאים לערור, בפני ועדת הערר, על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 הועדה; הודעת הערר תימסר תוך 5 ימים מיום מתן ההחלטה, ונימוקי הערר יימסרו תוך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ימים מיום ההודעה.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הועדה תהיה המשיבה בערר, ובערר שהגישו ארבעה מחברי הועדה יהיה גם בעל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 משיב; העורר ימציא העתק מהודעת הערר ונימוקיו למשיב והמשיב יהיה רשאי להגיש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תשובתו תוך 10 ימים מיום המצאת נימוקי הערר.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הערר רשאית לאשר את החלטות הועדה, לשנותן או לבטלן, להחזירן לועדה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לשיקול מחדש, עם הוראות נוספות או בלעדיהן, וליתן כל החלטה אחרת שהועדה רשאית לתתה,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ושיקוליה יהיו כאמור בסעיף 7.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ועדת הערר תתן החלטתה בערר תוך 30 ימים מיום הגשתו.</w:t>
                        </w:r>
                      </w:p>
                      <w:p w:rsidR="004E48BF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ועדת הערר רשאית, מנימוקים מיוחדים שיירשמו, להאריך את המועדים הקבועים</w:t>
                        </w:r>
                      </w:p>
                      <w:p w:rsidR="004E48BF" w:rsidRPr="00CC5E9C" w:rsidRDefault="004E48B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זה ב-7 ימים נוספים.</w:t>
                        </w:r>
                      </w:p>
                    </w:tc>
                  </w:tr>
                </w:tbl>
                <w:p w:rsidR="004E48BF" w:rsidRDefault="004E48B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323CE" w:rsidRDefault="003323CE">
      <w:pPr>
        <w:rPr>
          <w:rtl/>
        </w:rPr>
      </w:pPr>
      <w:r>
        <w:rPr>
          <w:rtl/>
        </w:rPr>
        <w:br w:type="page"/>
      </w:r>
    </w:p>
    <w:p w:rsidR="003323CE" w:rsidRDefault="00000000">
      <w:pPr>
        <w:rPr>
          <w:rtl/>
        </w:rPr>
      </w:pPr>
      <w:r>
        <w:pict>
          <v:shape id="_x0000_s41902" o:spid="_x0000_s1035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1902" inset="0,0,0,0">
              <w:txbxContent>
                <w:p w:rsidR="004E48BF" w:rsidRDefault="004E48BF">
                  <w:r>
                    <w:rPr>
                      <w:rtl/>
                    </w:rPr>
                    <w:t>126                                         ספר החוקים 1459                  י"ב בניסן התשנ"ד 24.03.1994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03" o:spid="_x0000_s1036" type="#_x0000_t202" style="position:absolute;left:0;text-align:left;margin-left:96.55pt;margin-top:722.75pt;width:185.15pt;height:27.7pt;z-index:13;mso-position-horizontal-relative:page;mso-position-vertical-relative:page" stroked="f">
            <v:textbox style="mso-next-textbox:#_x0000_s41903" inset="0,0,0,0">
              <w:txbxContent>
                <w:p w:rsidR="004E48BF" w:rsidRDefault="004E48B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41904" o:spid="_x0000_s1037" type="#_x0000_t202" style="position:absolute;left:0;text-align:left;margin-left:330.75pt;margin-top:683.15pt;width:158.4pt;height:31.9pt;z-index:12;mso-position-horizontal-relative:page;mso-position-vertical-relative:page" stroked="f">
            <v:textbox style="mso-next-textbox:#_x0000_s41904" inset="0,0,0,0">
              <w:txbxContent>
                <w:p w:rsidR="004E48BF" w:rsidRDefault="004E48BF">
                  <w:pPr>
                    <w:pStyle w:val="OCRStyle4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1 ק''ת התש"ל, עמ' 1841.</w:t>
                  </w:r>
                </w:p>
                <w:p w:rsidR="004E48BF" w:rsidRPr="003323CE" w:rsidRDefault="004E48BF">
                  <w:pPr>
                    <w:pStyle w:val="OCRStyle4"/>
                    <w:ind w:left="194"/>
                  </w:pPr>
                  <w:r>
                    <w:rPr>
                      <w:rtl/>
                    </w:rPr>
                    <w:t>4 ק"ת התשנ"ב, עמ' 807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05" o:spid="_x0000_s1038" type="#_x0000_t202" style="position:absolute;left:0;text-align:left;margin-left:97.55pt;margin-top:71.1pt;width:469.05pt;height:611.8pt;z-index:11;mso-position-horizontal-relative:page;mso-position-vertical-relative:page" stroked="f">
            <v:textbox style="mso-next-textbox:#_x0000_s4190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8"/>
                    <w:gridCol w:w="1400"/>
                  </w:tblGrid>
                  <w:tr w:rsidR="004E48BF" w:rsidRPr="003323CE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הוגשה הודעת ערר לא יהיה בהחלטת הועדה כדי למנוע או לעכב את בעל הזכיון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מלהמשיך ולבצע את העבודות, ולא יהיה בהמשך הביצוע כדי לפטור את בעל הזכיון ממילוי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הדרישות שהציבה הועדה לפי סעיף 7; ואולם יושב ראש ועדת הערר רשאי, עד למועד קיום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הראשון בערר, ליתן צו ביניים על אי ביצוע עבודה, אם קיים לדעתו חשש סביר שביצוע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יגרום לקביעת עובדות בלתי הפיכות שיש בהן מפגע חמור; צו הביניים יעמוד בתוקפו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אשר יבוטל בידי ועדת הערר לפי סעיף קטן (ב), ואם לא בוטל באמור - עד אשר ועדת הערר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תיתן החלטתה בערר או עד תום 50 ימים מיום הגשת הערר, לפי המוקדם.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הערר רשאית לבטל צו ביניים שנתן יושב ראש ועדת הערר לפי סעיף קטן (א),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רשאית היא ליתן צו ביניים אם לא ניתן בידי יושב ראש ועדת הערר; צו ביניים שנתנה ועדת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 יעמוד בתוקפו עד למתן ההחלטה בערר או עד תום 50 ימים מיום הגשת הערר, לפי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המוקדם,</w:t>
                        </w:r>
                      </w:p>
                    </w:tc>
                    <w:tc>
                      <w:tcPr>
                        <w:tcW w:w="821" w:type="pct"/>
                      </w:tcPr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ביניים לאי-</w:t>
                        </w:r>
                      </w:p>
                      <w:p w:rsidR="004E48BF" w:rsidRPr="003323CE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עבודה</w:t>
                        </w:r>
                      </w:p>
                    </w:tc>
                  </w:tr>
                  <w:tr w:rsidR="004E48BF" w:rsidRPr="003323CE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בוצעה עבודה מבלי שבעל הזכיון מסר לגביה מידע ראשוני או מידע נוסף כאמור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6, או לא קיים בעל הזכיון לגבי העבודה דרישה או החלטה לפי סעיפים 7 או 8, או הפר צו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ביניים שניתן לפי סעיף 9, יראו כאילו בוצעה העבודה בסטיה מהיתר ויחולו הוראות פרק י' לחוק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התכנון, ובלבד שנקיטת הליך לפי הוראות הפרק האמור נגד בעל הזכיון תהיה טעונה אישור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לממשלה.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הגיש בעל הזכיון ערר על דרישה למתן מידע נוסף לפי סעיף 6(ג), לא יינקט נגדו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הליך כאמור בסעיף קטן (א) בשל ביצוע עבודה מבלי שמסר את המידע האמור כל עוד לא נדחה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הערר בידי ועדת הערר או חלף המועד להמצאת המידע הנוסף, הכל לפי האירוע המאוחר</w:t>
                        </w:r>
                      </w:p>
                      <w:p w:rsidR="004E48BF" w:rsidRPr="003323CE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4E48BF" w:rsidRPr="003323CE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  <w:tr w:rsidR="004E48BF" w:rsidRPr="003323CE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תוך שנה מיום התחילה רשאים שר הפנים ושר התיירות. באישור ועדת הפנים ואיכות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הסביבה של הכנסת, להחיל בצו את הוראות חוק זה, בשינויים המתחייבים בנסיבות הענין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בצו, על סוללות בים המלח להגנה על מיתקנים ומבנים מפני עליית מפלס המיט</w:t>
                        </w:r>
                      </w:p>
                      <w:p w:rsidR="004E48BF" w:rsidRPr="003323CE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בבריכות אידוי, ובלבד שצו כאמור לא יטיל חובות על בעל הזכיון אלא בהסכמתו.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4E48BF" w:rsidRPr="003323CE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סוללות הגנה</w:t>
                        </w:r>
                      </w:p>
                    </w:tc>
                  </w:tr>
                  <w:tr w:rsidR="004E48BF" w:rsidRPr="003323CE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בעל הזכיון יהיה רשאי, בכפוף להוראות שטר הזכיון ועל פי הסכם עם רשות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שמורות הטבע, לבצע בתחום הקרקעות השמורות -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קידוחי מים, הנחת קווי מים וחשמל עבור הקידוחים ופריצת דרכים לאתרי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הקידוחים;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כריה וחציבה לצורך ביצוע העבודות, באתרים המסומנים במפה בקנה מידה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של20,000 :1 שתופקד במשרדי הועדה המקומית ורשות שמורות הטבע;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פריצת דרכים לאתרי הכריה והחציבה באמור בפסקה (2), בתוואים המסומנים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במפה האמורה.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ההסכם האמור בסעיף קטן (א) יכלול הוראות בדבר ביצוע עבודות ושיקום אתרים</w:t>
                        </w:r>
                      </w:p>
                      <w:p w:rsidR="004E48BF" w:rsidRPr="003323CE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הנחיות של אדריכל נוף, ויהיה פתוח לעיון הציבור במשרדי רשות שמורות הטבע.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בקרקעות</w:t>
                        </w:r>
                      </w:p>
                      <w:p w:rsidR="004E48BF" w:rsidRPr="003323CE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השמורות</w:t>
                        </w:r>
                      </w:p>
                    </w:tc>
                  </w:tr>
                  <w:tr w:rsidR="004E48BF" w:rsidRPr="003323CE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מוקמת בזה קרן לשיקום אתרים בשטח הזכיון שבהם ביצע בעל הזכיון עבודות של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כריה וחציבה ולמניעת מפגעים בשטח הזכיון ובשטחים אחרים שבהם פועל בעל הזכיון (להלן -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הקרן).</w:t>
                        </w:r>
                      </w:p>
                      <w:p w:rsidR="004E48BF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בהנהלת הקרן יהיו שבעה חברים והם:</w:t>
                        </w:r>
                      </w:p>
                      <w:p w:rsidR="004E48BF" w:rsidRPr="003323CE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נציג השר לאיכות הסביבה, והוא יכהן כיושב ראש ההנהלה;</w:t>
                        </w:r>
                      </w:p>
                    </w:tc>
                    <w:tc>
                      <w:tcPr>
                        <w:tcW w:w="821" w:type="pct"/>
                      </w:tcPr>
                      <w:p w:rsidR="004E48BF" w:rsidRPr="003323CE" w:rsidRDefault="004E48B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שיקום</w:t>
                        </w:r>
                      </w:p>
                    </w:tc>
                  </w:tr>
                </w:tbl>
                <w:p w:rsidR="004E48BF" w:rsidRDefault="004E48B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12B69" w:rsidRDefault="00E12B69">
      <w:pPr>
        <w:rPr>
          <w:rtl/>
        </w:rPr>
      </w:pPr>
      <w:r>
        <w:rPr>
          <w:rtl/>
        </w:rPr>
        <w:br w:type="page"/>
      </w:r>
    </w:p>
    <w:p w:rsidR="00E12B69" w:rsidRDefault="00000000">
      <w:pPr>
        <w:rPr>
          <w:rtl/>
        </w:rPr>
      </w:pPr>
      <w:r>
        <w:pict>
          <v:shape id="_x0000_s41906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41906" inset="0,0,0,0">
              <w:txbxContent>
                <w:p w:rsidR="004E48BF" w:rsidRDefault="004E48BF">
                  <w:r>
                    <w:rPr>
                      <w:rtl/>
                    </w:rPr>
                    <w:t>127                                         ספר החוקים 1459                  י"ב בניסן התשנ"ד 24.03.1994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07" o:spid="_x0000_s1040" type="#_x0000_t202" style="position:absolute;left:0;text-align:left;margin-left:342.25pt;margin-top:698.75pt;width:206.5pt;height:52.45pt;z-index:16;mso-position-horizontal-relative:page;mso-position-vertical-relative:page" stroked="f">
            <v:textbox style="mso-next-textbox:#_x0000_s41907" inset="0,0,0,0">
              <w:txbxContent>
                <w:p w:rsidR="004E48BF" w:rsidRPr="00E12B69" w:rsidRDefault="004E48BF">
                  <w:pPr>
                    <w:pStyle w:val="OCRStyle5"/>
                    <w:ind w:left="360"/>
                  </w:pPr>
                  <w:r>
                    <w:rPr>
                      <w:rtl/>
                    </w:rPr>
                    <w:t>5 חוקי א"י, כרך ב', עמ' 910.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08" o:spid="_x0000_s1041" type="#_x0000_t202" style="position:absolute;left:0;text-align:left;margin-left:103.65pt;margin-top:78.8pt;width:440.75pt;height:618.95pt;z-index:15;mso-position-horizontal-relative:page;mso-position-vertical-relative:page" stroked="f">
            <v:textbox style="mso-next-textbox:#_x0000_s41908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25"/>
                    <w:gridCol w:w="7088"/>
                  </w:tblGrid>
                  <w:tr w:rsidR="004E48BF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23" w:type="pct"/>
                      </w:tcPr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נציג שר האוצר;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 שר הפנים;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שר התעשיה והמסחר;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יושב ראש הועדה המקומית או נציגו;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נציג רשות שמורות הטבע;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נציג בעל הזכיון.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הקרן תנוהל במסגרת המשרד לאיכות הסביבה; כספי הקרן יוצאו לפי החלטות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הנהלת הקרן ובאישור השר לאיכות הסביבה ושר האוצר.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בכל אחת מהשנים התשנ''ד, התשנ"ה והתשנ''ו, ישלם בעל הזכיון לקרן תשלומים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כמפורט בתקנות שהותקנו לפי סעיף 120 לפקודת המכרות5, בהתאם לסוגים ולכמות החומר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שיחצוב ויכרה באדמות השמורות לצורך ביצוע העבודות, או סכום של 500,000 שקלים חדשים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אחת מהשנים האמורות, הכל לפי הגבוה יותר; התשלומים ישולמו במועדים שתקבע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הנהלת הקרן, ובעל הזכיון לא יהיה חייב בתשלומים נוספים לפי התקנות האמורות לקרן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שהוקמה לפיהן.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בעל הזכיון יהיה רשאי לבקש מן הקרן כי תשתתף בהוצאות שיקום אתרים שיוציא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ההסכם האמור בסעיף 12; ביקש כאמור, תקבע הנהלת הקרן את השתתפות הקרן בהוצאות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האמורות, בשיעור שייראה לה ראוי בנסיבות הענין.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השר לאיכות הסביבה רשאי להתקין תקנות בדבר סדרי הפעלת הקרן כבל שלא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נקבעו בסעיף זה, והוא ידווח לועדת הפנים ואיכות הסביבה של הכנסת תוך חודשיים מתום כל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תקציב על פעולות הקרן, הכנסותיה והוצאותיה.</w:t>
                        </w:r>
                      </w:p>
                    </w:tc>
                  </w:tr>
                  <w:tr w:rsidR="004E48BF" w:rsidRPr="00E12B69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4E48BF" w:rsidRPr="00E12B69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מסדיר</w:t>
                        </w:r>
                      </w:p>
                    </w:tc>
                    <w:tc>
                      <w:tcPr>
                        <w:tcW w:w="4423" w:type="pct"/>
                      </w:tcPr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תוך שישה חודשים מיום התחילה תגיש הממשלה לכנסת הצעת חוק בדבר דרכי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תכניות שיגיש בעל הזכיון לגבי שטח הזכיון אשר יהיו דרושות לשם מתן היתרים לביצוע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שחוק זה אינו חל עליהן, ודרכי הגשת הבקשות להיתרים ומתן ההיתרים (בסעיף זה -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המסדיר).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הזכיון יהיה רשאי לבצע עבודות שחוק זה אינו חל עליהן על פי הליכי התכנון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והרישוי שייקבעו לענין זה בחוק המסדיר; ואולם במקרים הבאים תהיה הממשלה רשאית, בצו,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הועדה המשותפת של ועדת הכספים וועדת הפנים של הכנסת, להוסיף עבודות לתוספת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שיחולו עליהן הוראות חוק זה: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הממשלה הגישה את הצעת החוק המסדיר במועד האמור בסעיף קטן (א)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והחוק המסדיר לא אושר בכנסת תוך שישה חודשים מיום הגשת ההצעה;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כתוצאה מאירוע בלתי צפוי יש צורך בביצוע עבודה למניעת נזק חמור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למפעל של בעל הזכיון.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הזכיון יכין תכניות לגבי שטח הזכיון, כולו או חלקו, כפי שתורה לו הועדה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ובמועדים שתקבע הועדה, והכל לשם הכנת תשתית לעבודת מוסדות התכנון לפי החוק</w:t>
                        </w:r>
                      </w:p>
                      <w:p w:rsidR="004E48BF" w:rsidRPr="00E12B69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המסדיר.</w:t>
                        </w:r>
                      </w:p>
                    </w:tc>
                  </w:tr>
                  <w:tr w:rsidR="004E48BF" w:rsidRPr="00E12B69">
                    <w:trPr>
                      <w:jc w:val="right"/>
                    </w:trPr>
                    <w:tc>
                      <w:tcPr>
                        <w:tcW w:w="577" w:type="pct"/>
                      </w:tcPr>
                      <w:p w:rsidR="004E48BF" w:rsidRPr="00E12B69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תשריר</w:t>
                        </w:r>
                      </w:p>
                    </w:tc>
                    <w:tc>
                      <w:tcPr>
                        <w:tcW w:w="4423" w:type="pct"/>
                      </w:tcPr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כל עבודה שביצועה הושלם בידי בעל הזכיון בשטח הזכיון לפני יום התחילה, וכל</w:t>
                        </w:r>
                      </w:p>
                      <w:p w:rsidR="004E48BF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שהיה קיים בקרקע או במבנה בשטח הזכיון לפני יום התחילה, ייראו כאילו הותרו לפי</w:t>
                        </w:r>
                      </w:p>
                      <w:p w:rsidR="004E48BF" w:rsidRPr="00E12B69" w:rsidRDefault="004E48B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התכנון, ובלבד שהוגשה לגביהם מפה באמור בסעיף קטן (ב).</w:t>
                        </w:r>
                      </w:p>
                    </w:tc>
                  </w:tr>
                </w:tbl>
                <w:p w:rsidR="004E48BF" w:rsidRDefault="004E48B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4E48BF" w:rsidRDefault="004E48BF">
      <w:pPr>
        <w:rPr>
          <w:rtl/>
        </w:rPr>
      </w:pPr>
      <w:r>
        <w:rPr>
          <w:rtl/>
        </w:rPr>
        <w:br w:type="page"/>
      </w:r>
    </w:p>
    <w:p w:rsidR="004E48BF" w:rsidRDefault="00000000">
      <w:pPr>
        <w:rPr>
          <w:rtl/>
        </w:rPr>
      </w:pPr>
      <w:r>
        <w:pict>
          <v:shape id="_x0000_s41909" o:spid="_x0000_s1042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41909" inset="0,0,0,0">
              <w:txbxContent>
                <w:p w:rsidR="004E48BF" w:rsidRDefault="004E48BF">
                  <w:r>
                    <w:rPr>
                      <w:rtl/>
                    </w:rPr>
                    <w:t>128                                         ספר החוקים 1459                  י"ב בניסן התשנ"ד 24.03.1994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10" o:spid="_x0000_s1043" type="#_x0000_t202" style="position:absolute;left:0;text-align:left;margin-left:98.15pt;margin-top:705.85pt;width:217.8pt;height:38.6pt;z-index:25;mso-position-horizontal-relative:page;mso-position-vertical-relative:page" stroked="f">
            <v:textbox style="mso-next-textbox:#_x0000_s41910" inset="0,0,0,0">
              <w:txbxContent>
                <w:p w:rsidR="004E48BF" w:rsidRDefault="004E48B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1911" o:spid="_x0000_s1044" type="#_x0000_t202" style="position:absolute;left:0;text-align:left;margin-left:103.3pt;margin-top:609.45pt;width:82.55pt;height:30.1pt;z-index:24;mso-position-horizontal-relative:page;mso-position-vertical-relative:page" stroked="f">
            <v:textbox style="mso-next-textbox:#_x0000_s41911" inset="0,0,0,0">
              <w:txbxContent>
                <w:p w:rsidR="004E48BF" w:rsidRDefault="004E48BF">
                  <w:pPr>
                    <w:pStyle w:val="OCRStyle6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E48BF" w:rsidRDefault="004E48BF">
                  <w:pPr>
                    <w:pStyle w:val="OCRStyle6"/>
                    <w:ind w:left="35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12" o:spid="_x0000_s1045" type="#_x0000_t202" style="position:absolute;left:0;text-align:left;margin-left:189.4pt;margin-top:634.4pt;width:103.15pt;height:36.25pt;z-index:23;mso-position-horizontal-relative:page;mso-position-vertical-relative:page" stroked="f">
            <v:textbox style="mso-next-textbox:#_x0000_s41912" inset="0,0,0,0">
              <w:txbxContent>
                <w:p w:rsidR="004E48BF" w:rsidRDefault="004E48BF">
                  <w:pPr>
                    <w:pStyle w:val="OCRStyle6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E48BF" w:rsidRDefault="004E48BF">
                  <w:pPr>
                    <w:pStyle w:val="OCRStyle6"/>
                    <w:ind w:left="31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13" o:spid="_x0000_s1046" type="#_x0000_t202" style="position:absolute;left:0;text-align:left;margin-left:295.35pt;margin-top:607.65pt;width:87.7pt;height:31.9pt;z-index:22;mso-position-horizontal-relative:page;mso-position-vertical-relative:page" stroked="f">
            <v:textbox style="mso-next-textbox:#_x0000_s41913" inset="0,0,0,0">
              <w:txbxContent>
                <w:p w:rsidR="004E48BF" w:rsidRDefault="004E48BF">
                  <w:pPr>
                    <w:pStyle w:val="OCRStyle6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E48BF" w:rsidRDefault="004E48BF">
                  <w:pPr>
                    <w:pStyle w:val="OCRStyle6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14" o:spid="_x0000_s1047" type="#_x0000_t202" style="position:absolute;left:0;text-align:left;margin-left:385.65pt;margin-top:635.2pt;width:86.15pt;height:28.5pt;z-index:21;mso-position-horizontal-relative:page;mso-position-vertical-relative:page" stroked="f">
            <v:textbox style="mso-next-textbox:#_x0000_s41914" inset="0,0,0,0">
              <w:txbxContent>
                <w:p w:rsidR="004E48BF" w:rsidRDefault="004E48BF">
                  <w:pPr>
                    <w:pStyle w:val="OCRStyle6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4E48BF" w:rsidRDefault="004E48BF">
                  <w:pPr>
                    <w:pStyle w:val="OCRStyle6"/>
                    <w:ind w:left="2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15" o:spid="_x0000_s1048" type="#_x0000_t202" style="position:absolute;left:0;text-align:left;margin-left:97.35pt;margin-top:273.65pt;width:405.3pt;height:321.95pt;z-index:20;mso-position-horizontal-relative:page;mso-position-vertical-relative:page" stroked="f">
            <v:textbox style="mso-next-textbox:#_x0000_s41915" inset="0,0,0,0">
              <w:txbxContent>
                <w:tbl>
                  <w:tblPr>
                    <w:tblW w:w="441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75"/>
                    <w:gridCol w:w="2192"/>
                    <w:gridCol w:w="1440"/>
                    <w:gridCol w:w="1961"/>
                  </w:tblGrid>
                  <w:tr w:rsidR="004E48BF" w:rsidRPr="004E48BF">
                    <w:trPr>
                      <w:jc w:val="right"/>
                    </w:trPr>
                    <w:tc>
                      <w:tcPr>
                        <w:tcW w:w="1204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סיום מתוכנן</w:t>
                        </w:r>
                      </w:p>
                      <w:p w:rsidR="004E48BF" w:rsidRP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סוף 1995</w:t>
                        </w:r>
                      </w:p>
                    </w:tc>
                    <w:tc>
                      <w:tcPr>
                        <w:tcW w:w="1487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מטרות העבודה או</w:t>
                        </w:r>
                      </w:p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כושר ייצור מתוכנן</w:t>
                        </w:r>
                      </w:p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27,500 טון בשנה</w:t>
                        </w:r>
                      </w:p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מגנזים מתכתי.</w:t>
                        </w:r>
                      </w:p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60,000 טון בשנה</w:t>
                        </w:r>
                      </w:p>
                      <w:p w:rsidR="004E48BF" w:rsidRP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כלור ותרכובותיו.</w:t>
                        </w:r>
                      </w:p>
                    </w:tc>
                    <w:tc>
                      <w:tcPr>
                        <w:tcW w:w="977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מיקום העבודה</w:t>
                        </w:r>
                      </w:p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קרקעות</w:t>
                        </w:r>
                      </w:p>
                      <w:p w:rsidR="004E48BF" w:rsidRP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חכורות</w:t>
                        </w:r>
                      </w:p>
                    </w:tc>
                    <w:tc>
                      <w:tcPr>
                        <w:tcW w:w="1331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</w:t>
                        </w:r>
                      </w:p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לייצור</w:t>
                        </w:r>
                      </w:p>
                      <w:p w:rsidR="004E48BF" w:rsidRP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מגנזיום מתכתי</w:t>
                        </w:r>
                      </w:p>
                    </w:tc>
                  </w:tr>
                  <w:tr w:rsidR="004E48BF">
                    <w:trPr>
                      <w:jc w:val="right"/>
                    </w:trPr>
                    <w:tc>
                      <w:tcPr>
                        <w:tcW w:w="1204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סוף 1994</w:t>
                        </w:r>
                      </w:p>
                    </w:tc>
                    <w:tc>
                      <w:tcPr>
                        <w:tcW w:w="1487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700,000 טון בשנה.</w:t>
                        </w:r>
                      </w:p>
                    </w:tc>
                    <w:tc>
                      <w:tcPr>
                        <w:tcW w:w="977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קרקעות</w:t>
                        </w:r>
                      </w:p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חכורות</w:t>
                        </w:r>
                      </w:p>
                    </w:tc>
                    <w:tc>
                      <w:tcPr>
                        <w:tcW w:w="1331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לייצור</w:t>
                        </w:r>
                      </w:p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מלחים</w:t>
                        </w:r>
                      </w:p>
                    </w:tc>
                  </w:tr>
                  <w:tr w:rsidR="004E48BF">
                    <w:trPr>
                      <w:jc w:val="right"/>
                    </w:trPr>
                    <w:tc>
                      <w:tcPr>
                        <w:tcW w:w="1204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סוף 1995</w:t>
                        </w:r>
                      </w:p>
                    </w:tc>
                    <w:tc>
                      <w:tcPr>
                        <w:tcW w:w="1487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100 טון/שעה</w:t>
                        </w:r>
                      </w:p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240 טון קיטור/שעה.</w:t>
                        </w:r>
                      </w:p>
                    </w:tc>
                    <w:tc>
                      <w:tcPr>
                        <w:tcW w:w="977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קרקעות</w:t>
                        </w:r>
                      </w:p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חכורות</w:t>
                        </w:r>
                      </w:p>
                    </w:tc>
                    <w:tc>
                      <w:tcPr>
                        <w:tcW w:w="1331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הגדלה והרחבה</w:t>
                        </w:r>
                      </w:p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תחנת כוח</w:t>
                        </w:r>
                      </w:p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קיימת</w:t>
                        </w:r>
                      </w:p>
                    </w:tc>
                  </w:tr>
                  <w:tr w:rsidR="004E48BF">
                    <w:trPr>
                      <w:jc w:val="right"/>
                    </w:trPr>
                    <w:tc>
                      <w:tcPr>
                        <w:tcW w:w="1204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סוף 1996</w:t>
                        </w:r>
                      </w:p>
                    </w:tc>
                    <w:tc>
                      <w:tcPr>
                        <w:tcW w:w="1487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הגבהת מפלס המים</w:t>
                        </w:r>
                      </w:p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בבריכות התעשייתיות.</w:t>
                        </w:r>
                      </w:p>
                    </w:tc>
                    <w:tc>
                      <w:tcPr>
                        <w:tcW w:w="977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ים המלח</w:t>
                        </w:r>
                      </w:p>
                    </w:tc>
                    <w:tc>
                      <w:tcPr>
                        <w:tcW w:w="1331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הגבהת סוללות</w:t>
                        </w:r>
                      </w:p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קיימות</w:t>
                        </w:r>
                      </w:p>
                    </w:tc>
                  </w:tr>
                  <w:tr w:rsidR="004E48BF">
                    <w:trPr>
                      <w:jc w:val="right"/>
                    </w:trPr>
                    <w:tc>
                      <w:tcPr>
                        <w:tcW w:w="1204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סוף 1994</w:t>
                        </w:r>
                      </w:p>
                    </w:tc>
                    <w:tc>
                      <w:tcPr>
                        <w:tcW w:w="1487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77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קרקעות</w:t>
                        </w:r>
                      </w:p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חכורות</w:t>
                        </w:r>
                      </w:p>
                    </w:tc>
                    <w:tc>
                      <w:tcPr>
                        <w:tcW w:w="1331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של קומת</w:t>
                        </w:r>
                      </w:p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משרדים בבנין</w:t>
                        </w:r>
                      </w:p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קיים</w:t>
                        </w:r>
                      </w:p>
                    </w:tc>
                  </w:tr>
                  <w:tr w:rsidR="004E48BF">
                    <w:trPr>
                      <w:jc w:val="right"/>
                    </w:trPr>
                    <w:tc>
                      <w:tcPr>
                        <w:tcW w:w="1204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סוף 1995</w:t>
                        </w:r>
                      </w:p>
                    </w:tc>
                    <w:tc>
                      <w:tcPr>
                        <w:tcW w:w="1487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מיתקן ניסוי.</w:t>
                        </w:r>
                      </w:p>
                    </w:tc>
                    <w:tc>
                      <w:tcPr>
                        <w:tcW w:w="977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ים המלח</w:t>
                        </w:r>
                      </w:p>
                    </w:tc>
                    <w:tc>
                      <w:tcPr>
                        <w:tcW w:w="1331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אידוי בהמטרה</w:t>
                        </w:r>
                      </w:p>
                    </w:tc>
                  </w:tr>
                  <w:tr w:rsidR="004E48BF">
                    <w:trPr>
                      <w:jc w:val="right"/>
                    </w:trPr>
                    <w:tc>
                      <w:tcPr>
                        <w:tcW w:w="1204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סוף 1996</w:t>
                        </w:r>
                      </w:p>
                    </w:tc>
                    <w:tc>
                      <w:tcPr>
                        <w:tcW w:w="1487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150,000 טון בשנה.</w:t>
                        </w:r>
                      </w:p>
                    </w:tc>
                    <w:tc>
                      <w:tcPr>
                        <w:tcW w:w="977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קרקעות</w:t>
                        </w:r>
                      </w:p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חכורות</w:t>
                        </w:r>
                      </w:p>
                    </w:tc>
                    <w:tc>
                      <w:tcPr>
                        <w:tcW w:w="1331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מיתקן לייצור</w:t>
                        </w:r>
                      </w:p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אשלג טכני</w:t>
                        </w:r>
                      </w:p>
                    </w:tc>
                  </w:tr>
                  <w:tr w:rsidR="004E48BF">
                    <w:trPr>
                      <w:jc w:val="right"/>
                    </w:trPr>
                    <w:tc>
                      <w:tcPr>
                        <w:tcW w:w="1204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סוף 1995</w:t>
                        </w:r>
                      </w:p>
                    </w:tc>
                    <w:tc>
                      <w:tcPr>
                        <w:tcW w:w="1487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הגדלת כושר ייצור</w:t>
                        </w:r>
                      </w:p>
                    </w:tc>
                    <w:tc>
                      <w:tcPr>
                        <w:tcW w:w="977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קרקעות</w:t>
                        </w:r>
                      </w:p>
                    </w:tc>
                    <w:tc>
                      <w:tcPr>
                        <w:tcW w:w="1331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ושיפורים</w:t>
                        </w:r>
                      </w:p>
                    </w:tc>
                  </w:tr>
                  <w:tr w:rsidR="004E48BF">
                    <w:trPr>
                      <w:jc w:val="right"/>
                    </w:trPr>
                    <w:tc>
                      <w:tcPr>
                        <w:tcW w:w="1204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87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אשלג, ברום וכלור.</w:t>
                        </w:r>
                      </w:p>
                    </w:tc>
                    <w:tc>
                      <w:tcPr>
                        <w:tcW w:w="977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חכורות</w:t>
                        </w:r>
                      </w:p>
                    </w:tc>
                    <w:tc>
                      <w:tcPr>
                        <w:tcW w:w="1331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במיתקני ייצור</w:t>
                        </w:r>
                      </w:p>
                    </w:tc>
                  </w:tr>
                </w:tbl>
                <w:p w:rsidR="004E48BF" w:rsidRDefault="004E48B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1916" o:spid="_x0000_s1049" type="#_x0000_t202" style="position:absolute;left:0;text-align:left;margin-left:241.1pt;margin-top:232.25pt;width:91.1pt;height:36.25pt;z-index:19;mso-position-horizontal-relative:page;mso-position-vertical-relative:page" stroked="f">
            <v:textbox style="mso-next-textbox:#_x0000_s41916" inset="0,0,0,0">
              <w:txbxContent>
                <w:p w:rsidR="004E48BF" w:rsidRDefault="004E48BF">
                  <w:pPr>
                    <w:pStyle w:val="OCRStyle6"/>
                    <w:ind w:left="38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תוספת</w:t>
                  </w:r>
                </w:p>
                <w:p w:rsidR="004E48BF" w:rsidRPr="004E48BF" w:rsidRDefault="004E48BF">
                  <w:pPr>
                    <w:pStyle w:val="OCRStyle6"/>
                    <w:ind w:left="382"/>
                  </w:pPr>
                  <w:r>
                    <w:rPr>
                      <w:rtl/>
                    </w:rPr>
                    <w:t>(סעיף 0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17" o:spid="_x0000_s1050" type="#_x0000_t202" style="position:absolute;left:0;text-align:left;margin-left:96.35pt;margin-top:77.4pt;width:465.7pt;height:147.1pt;z-index:18;mso-position-horizontal-relative:page;mso-position-vertical-relative:page" stroked="f">
            <v:textbox style="mso-next-textbox:#_x0000_s4191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8"/>
                    <w:gridCol w:w="1378"/>
                  </w:tblGrid>
                  <w:tr w:rsidR="004E48BF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הזכיין יגיש תוך שלושה חודשים מיום התחילה ממה מצבית של שטח הזכיון</w:t>
                        </w:r>
                      </w:p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נכונה ליום התחילה; המפה תוכן בקנה מידה שתקבע הועדה ולפי הנחיותיה.</w:t>
                        </w:r>
                      </w:p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באמור בסעיף זה כדי לפגוע בזכויות שניתן היה ערב יום התחילה לתבוע בשלן</w:t>
                        </w:r>
                      </w:p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בעל הזכיון בהליך אזרחי ואין באמור בסעיף זה כדי להקנות זכויות תביעה נגד בעל הזכיון</w:t>
                        </w:r>
                      </w:p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היו קיימות ערב יום התחילה.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</w:tr>
                  <w:tr w:rsidR="004E48BF" w:rsidRPr="004E48BF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שר הפנים ושר האוצר, באישור ועדת הפנים ואיכות הסביבה של הכנסת, רשאים להתקין</w:t>
                        </w:r>
                      </w:p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בדבר אגרות שישלם בעל הזכיון למימון הוצאות הועדה וועדת הערר.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4E48BF" w:rsidRP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אגרות</w:t>
                        </w:r>
                      </w:p>
                    </w:tc>
                  </w:tr>
                  <w:tr w:rsidR="004E48BF" w:rsidRPr="004E48BF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שר הפנים ממונה על ביצועו של חוק זה, והוא רשאי, בהסכמת שר האוצר, להתקין תקנות</w:t>
                        </w:r>
                      </w:p>
                      <w:p w:rsidR="004E48BF" w:rsidRP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הנוגע לביצועו.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4E48BF" w:rsidRPr="004E48BF" w:rsidRDefault="004E48B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4E48BF" w:rsidRDefault="004E48B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E74B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6805696-5ED1-42E9-9907-45B654DDF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E74B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41C8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C5E9C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3323CE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E12B69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4E48B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37</Characters>
  <Application>Microsoft Office Word</Application>
  <DocSecurity>4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2008-04-07T09:35:00Z</dcterms:created>
  <dcterms:modified xsi:type="dcterms:W3CDTF">2008-04-07T09:36:00Z</dcterms:modified>
</cp:coreProperties>
</file>