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125B2" w:rsidRDefault="001125B2">
      <w:pPr>
        <w:rPr>
          <w:rtl/>
        </w:rPr>
      </w:pPr>
    </w:p>
    <w:p w:rsidR="001125B2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2007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42007" inset="0,0,0,0">
              <w:txbxContent>
                <w:p w:rsidR="001125B2" w:rsidRDefault="001125B2">
                  <w:r>
                    <w:rPr>
                      <w:rtl/>
                    </w:rPr>
                    <w:t>34                                          ספר החוקים 1491                    ה' בטבת התשנ"ה 08.12.1994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2008" o:spid="_x0000_s1026" type="#_x0000_t202" style="position:absolute;left:0;text-align:left;margin-left:99.35pt;margin-top:322.6pt;width:390.05pt;height:42.15pt;z-index:7;mso-position-horizontal-relative:page;mso-position-vertical-relative:page" stroked="f">
            <v:textbox style="mso-next-textbox:#_x0000_s42008" inset="0,0,0,0">
              <w:txbxContent>
                <w:p w:rsidR="001125B2" w:rsidRDefault="001125B2">
                  <w:pPr>
                    <w:pStyle w:val="OCRStyle1"/>
                    <w:ind w:left="281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כ"ו בכסלו התשנ"ה (29 בנובמבר 1994); הצעת החוק ודברי הסבר פורסמו בהצעות חוק</w:t>
                  </w:r>
                </w:p>
                <w:p w:rsidR="001125B2" w:rsidRDefault="001125B2">
                  <w:pPr>
                    <w:pStyle w:val="OCRStyle1"/>
                    <w:ind w:left="486"/>
                    <w:rPr>
                      <w:rtl/>
                    </w:rPr>
                  </w:pPr>
                  <w:r>
                    <w:rPr>
                      <w:rtl/>
                    </w:rPr>
                    <w:t>2295, מיום י''א באב התשנ"ד (19 ביולי 1994), עמ' 569.</w:t>
                  </w:r>
                </w:p>
                <w:p w:rsidR="001125B2" w:rsidRPr="001125B2" w:rsidRDefault="001125B2">
                  <w:pPr>
                    <w:pStyle w:val="OCRStyle1"/>
                    <w:ind w:left="292"/>
                  </w:pPr>
                  <w:r>
                    <w:rPr>
                      <w:rtl/>
                    </w:rPr>
                    <w:t>1 ס"ח התשמ-א, עמ' 258; התשנ"ד, עני .154</w:t>
                  </w:r>
                </w:p>
              </w:txbxContent>
            </v:textbox>
            <w10:wrap anchorx="page" anchory="page"/>
          </v:shape>
        </w:pict>
      </w:r>
      <w:r>
        <w:pict>
          <v:shape id="_x0000_s42009" o:spid="_x0000_s1027" type="#_x0000_t202" style="position:absolute;left:0;text-align:left;margin-left:213.75pt;margin-top:272.7pt;width:88.7pt;height:27.5pt;z-index:6;mso-position-horizontal-relative:page;mso-position-vertical-relative:page" stroked="f">
            <v:textbox style="mso-next-textbox:#_x0000_s42009" inset="0,0,0,0">
              <w:txbxContent>
                <w:p w:rsidR="001125B2" w:rsidRDefault="001125B2">
                  <w:pPr>
                    <w:pStyle w:val="OCRStyle1"/>
                    <w:ind w:left="266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1125B2" w:rsidRDefault="001125B2">
                  <w:pPr>
                    <w:pStyle w:val="OCRStyle1"/>
                    <w:ind w:left="94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2010" o:spid="_x0000_s1028" type="#_x0000_t202" style="position:absolute;left:0;text-align:left;margin-left:392.95pt;margin-top:271.9pt;width:88.7pt;height:31.9pt;z-index:5;mso-position-horizontal-relative:page;mso-position-vertical-relative:page" stroked="f">
            <v:textbox style="mso-next-textbox:#_x0000_s42010" inset="0,0,0,0">
              <w:txbxContent>
                <w:p w:rsidR="001125B2" w:rsidRDefault="001125B2">
                  <w:pPr>
                    <w:pStyle w:val="OCRStyle1"/>
                    <w:ind w:left="414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1125B2" w:rsidRDefault="001125B2">
                  <w:pPr>
                    <w:pStyle w:val="OCRStyle1"/>
                    <w:ind w:left="41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2011" o:spid="_x0000_s1029" type="#_x0000_t202" style="position:absolute;left:0;text-align:left;margin-left:95.95pt;margin-top:241.8pt;width:127.3pt;height:27.5pt;z-index:4;mso-position-horizontal-relative:page;mso-position-vertical-relative:page" stroked="f">
            <v:textbox style="mso-next-textbox:#_x0000_s42011" inset="0,0,0,0">
              <w:txbxContent>
                <w:p w:rsidR="001125B2" w:rsidRDefault="001125B2">
                  <w:pPr>
                    <w:pStyle w:val="OCRStyle1"/>
                    <w:ind w:left="83"/>
                    <w:rPr>
                      <w:rtl/>
                    </w:rPr>
                  </w:pPr>
                  <w:r>
                    <w:rPr>
                      <w:rtl/>
                    </w:rPr>
                    <w:t>אברהם (בייגה) שוחט</w:t>
                  </w:r>
                </w:p>
                <w:p w:rsidR="001125B2" w:rsidRDefault="001125B2">
                  <w:pPr>
                    <w:pStyle w:val="OCRStyle1"/>
                    <w:ind w:left="716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42012" o:spid="_x0000_s1030" type="#_x0000_t202" style="position:absolute;left:0;text-align:left;margin-left:300.9pt;margin-top:245.95pt;width:92.05pt;height:25.95pt;z-index:3;mso-position-horizontal-relative:page;mso-position-vertical-relative:page" stroked="f">
            <v:textbox style="mso-next-textbox:#_x0000_s42012" inset="0,0,0,0">
              <w:txbxContent>
                <w:p w:rsidR="001125B2" w:rsidRDefault="001125B2">
                  <w:pPr>
                    <w:pStyle w:val="OCRStyle1"/>
                    <w:ind w:left="367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1125B2" w:rsidRDefault="001125B2">
                  <w:pPr>
                    <w:pStyle w:val="OCRStyle1"/>
                    <w:ind w:left="313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2013" o:spid="_x0000_s1031" type="#_x0000_t202" style="position:absolute;left:0;text-align:left;margin-left:89.05pt;margin-top:99.65pt;width:472.65pt;height:137pt;z-index:2;mso-position-horizontal-relative:page;mso-position-vertical-relative:page" stroked="f">
            <v:textbox style="mso-next-textbox:#_x0000_s42013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27"/>
                    <w:gridCol w:w="1227"/>
                    <w:gridCol w:w="1540"/>
                  </w:tblGrid>
                  <w:tr w:rsidR="001125B2" w:rsidRPr="001125B2">
                    <w:trPr>
                      <w:jc w:val="right"/>
                    </w:trPr>
                    <w:tc>
                      <w:tcPr>
                        <w:tcW w:w="4104" w:type="pct"/>
                        <w:gridSpan w:val="2"/>
                      </w:tcPr>
                      <w:p w:rsidR="001125B2" w:rsidRPr="001125B2" w:rsidRDefault="001125B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1. אחרי סעיף 6 לחוק הבנקאות (שירות ללקוח/ התשמ"א-1987 1, יבוא:</w:t>
                        </w:r>
                      </w:p>
                    </w:tc>
                    <w:tc>
                      <w:tcPr>
                        <w:tcW w:w="896" w:type="pct"/>
                      </w:tcPr>
                      <w:p w:rsidR="001125B2" w:rsidRPr="001125B2" w:rsidRDefault="001125B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6א</w:t>
                        </w:r>
                      </w:p>
                    </w:tc>
                  </w:tr>
                  <w:tr w:rsidR="001125B2">
                    <w:trPr>
                      <w:jc w:val="right"/>
                    </w:trPr>
                    <w:tc>
                      <w:tcPr>
                        <w:tcW w:w="3390" w:type="pct"/>
                      </w:tcPr>
                      <w:p w:rsidR="001125B2" w:rsidRDefault="001125B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6א. הנגיד רשאי, לאחר התייעצות בועדה המייעצת, ובאישור שר האוצר</w:t>
                        </w:r>
                      </w:p>
                      <w:p w:rsidR="001125B2" w:rsidRDefault="001125B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וועדת הכלכלה של הכנסת, לקבוע בכללים עקרונות, כללים ותנאים לפרסומת</w:t>
                        </w:r>
                      </w:p>
                      <w:p w:rsidR="001125B2" w:rsidRDefault="001125B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המכוונת לקטינים, לרבות איסור פרסומת העלולה להטעות קטין, לנצל את</w:t>
                        </w:r>
                      </w:p>
                      <w:p w:rsidR="001125B2" w:rsidRDefault="001125B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גילו, תמימותו או חוסר נסיונו; כללים כאמור יכול שיתייחסו לקטינים דרך</w:t>
                        </w:r>
                      </w:p>
                      <w:p w:rsidR="001125B2" w:rsidRDefault="001125B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כלל, או עד גיל מסוים.''</w:t>
                        </w:r>
                      </w:p>
                    </w:tc>
                    <w:tc>
                      <w:tcPr>
                        <w:tcW w:w="714" w:type="pct"/>
                      </w:tcPr>
                      <w:p w:rsidR="001125B2" w:rsidRDefault="001125B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"פרסומת המכוונת</w:t>
                        </w:r>
                      </w:p>
                      <w:p w:rsidR="001125B2" w:rsidRPr="001125B2" w:rsidRDefault="001125B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לקטינים</w:t>
                        </w:r>
                      </w:p>
                    </w:tc>
                    <w:tc>
                      <w:tcPr>
                        <w:tcW w:w="896" w:type="pct"/>
                      </w:tcPr>
                      <w:p w:rsidR="001125B2" w:rsidRDefault="001125B2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1125B2" w:rsidRPr="001125B2">
                    <w:trPr>
                      <w:jc w:val="right"/>
                    </w:trPr>
                    <w:tc>
                      <w:tcPr>
                        <w:tcW w:w="4104" w:type="pct"/>
                        <w:gridSpan w:val="2"/>
                      </w:tcPr>
                      <w:p w:rsidR="001125B2" w:rsidRDefault="001125B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כללים לפי סעיף ו יוגשו לאישור ועדת הכלכלה של הכנסת תוך שלושה חודשים מיום</w:t>
                        </w:r>
                      </w:p>
                      <w:p w:rsidR="001125B2" w:rsidRPr="001125B2" w:rsidRDefault="001125B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תחילתו של חוק זה.</w:t>
                        </w:r>
                      </w:p>
                    </w:tc>
                    <w:tc>
                      <w:tcPr>
                        <w:tcW w:w="896" w:type="pct"/>
                      </w:tcPr>
                      <w:p w:rsidR="001125B2" w:rsidRDefault="001125B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חובת קביעת</w:t>
                        </w:r>
                      </w:p>
                      <w:p w:rsidR="001125B2" w:rsidRPr="001125B2" w:rsidRDefault="001125B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כללים</w:t>
                        </w:r>
                      </w:p>
                    </w:tc>
                  </w:tr>
                </w:tbl>
                <w:p w:rsidR="001125B2" w:rsidRDefault="001125B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2014" o:spid="_x0000_s1032" type="#_x0000_t202" style="position:absolute;left:0;text-align:left;margin-left:119.15pt;margin-top:69.55pt;width:346.9pt;height:27.5pt;z-index:1;mso-position-horizontal-relative:page;mso-position-vertical-relative:page" stroked="f">
            <v:textbox style="mso-next-textbox:#_x0000_s42014" inset="0,0,0,0">
              <w:txbxContent>
                <w:p w:rsidR="001125B2" w:rsidRPr="001125B2" w:rsidRDefault="001125B2">
                  <w:pPr>
                    <w:pStyle w:val="OCRStyle1"/>
                    <w:ind w:left="475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חוק הבנקאות (שירות ללקוח) (תיקון מס' 3), התשנ"ה-1994*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1125B2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125B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8B9D2357-C2F6-49B7-98A8-EDA22D2861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1125B2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2008-04-07T09:43:00Z</dcterms:created>
  <dcterms:modified xsi:type="dcterms:W3CDTF">2008-04-07T09:43:00Z</dcterms:modified>
</cp:coreProperties>
</file>