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7587" w:rsidRDefault="000B7587">
      <w:pPr>
        <w:rPr>
          <w:rtl/>
        </w:rPr>
      </w:pPr>
    </w:p>
    <w:p w:rsidR="000B758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07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077" inset="0,0,0,0">
              <w:txbxContent>
                <w:p w:rsidR="003A44A1" w:rsidRDefault="003A44A1">
                  <w:r>
                    <w:rPr>
                      <w:rtl/>
                    </w:rPr>
                    <w:t>75                                          ספר החוקים 1452                   י"ט באדר התשנ"ד 02.03.1994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78" o:spid="_x0000_s1026" type="#_x0000_t202" style="position:absolute;left:0;text-align:left;margin-left:138.35pt;margin-top:652.85pt;width:419.35pt;height:88.7pt;z-index:3;mso-position-horizontal-relative:page;mso-position-vertical-relative:page" stroked="f">
            <v:textbox style="mso-next-textbox:#_x0000_s42078" inset="0,0,0,0">
              <w:txbxContent>
                <w:p w:rsidR="003A44A1" w:rsidRDefault="003A44A1">
                  <w:pPr>
                    <w:pStyle w:val="OCRStyle1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י"ז באדר התשנ'ד (28 בפברואר 1994); הצעת החוק ודברי הסבר פורסמו בהצעות חוק 2226,</w:t>
                  </w:r>
                </w:p>
                <w:p w:rsidR="003A44A1" w:rsidRDefault="003A44A1">
                  <w:pPr>
                    <w:pStyle w:val="OCRStyle1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מיום כ'ב בכסלו התשנ"ד (6 בדצמבר 1995).</w:t>
                  </w:r>
                </w:p>
                <w:p w:rsidR="003A44A1" w:rsidRDefault="003A44A1">
                  <w:pPr>
                    <w:pStyle w:val="OCRStyle1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 xml:space="preserve"> ס'ח התשכ"ח, עמ' 234: התשנ"ב, עמ' 112.</w:t>
                  </w:r>
                </w:p>
                <w:p w:rsidR="003A44A1" w:rsidRDefault="003A44A1">
                  <w:pPr>
                    <w:pStyle w:val="OCRStyle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2 ס"ח התשל"ה, עמ' 132; התשנ"ג, עמ' .162</w:t>
                  </w:r>
                </w:p>
                <w:p w:rsidR="003A44A1" w:rsidRPr="000B7587" w:rsidRDefault="003A44A1">
                  <w:pPr>
                    <w:pStyle w:val="OCRStyle1"/>
                    <w:ind w:left="598"/>
                  </w:pPr>
                  <w:r>
                    <w:rPr>
                      <w:rtl/>
                    </w:rPr>
                    <w:t>3 ס"ח התשנ"ד, עמ' .10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79" o:spid="_x0000_s1027" type="#_x0000_t202" style="position:absolute;left:0;text-align:left;margin-left:84.1pt;margin-top:101.05pt;width:471.05pt;height:551.05pt;z-index:2;mso-position-horizontal-relative:page;mso-position-vertical-relative:page" stroked="f">
            <v:textbox style="mso-next-textbox:#_x0000_s4207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2"/>
                    <w:gridCol w:w="5766"/>
                    <w:gridCol w:w="1505"/>
                  </w:tblGrid>
                  <w:tr w:rsidR="003A44A1" w:rsidRPr="000B7587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3A44A1" w:rsidRPr="000B7587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46" w:type="pct"/>
                        <w:gridSpan w:val="2"/>
                      </w:tcPr>
                      <w:p w:rsidR="003A44A1" w:rsidRDefault="003A44A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12(ד) לחוק ניירות ערך, התשכ"ח-1968 (להלן - החוק העיקרי), בסופו יבוא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'ורשאית הרשות לקבוע כאמור סדרי טיפול נפרדים שיחולו על בקשות להתיר פרסום של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תשקיפים -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המוצאים במסגרת החלטת הפרטה כמשמעותה בחוק החברות הממשלתיות,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התשל'ה-1975 2, אם ועדת השרים לעניני הפרטה קבעה שבנסיבות הענין, החלת סדרי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נפרדים חשובה לקידום ההפרטה;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לצורך מכירת המניות כהגדרתן בחוק המניות הבנקאיות שבהסדר (הוראת שעה),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התשנ''ד-1993 3;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המוצאים בירי מנפיק שהוא חברה שהונה העצמי הוא לא פחות מסכום שקבעה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הרשות, באישור שר האוצר; הודעה על קביעה כאמור תימסר לוועדת הכספים של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ותפורסם ברשומות;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המוצאים בירי מנפיק שהוא חברה החייבת, לפי דין, לערוך דו''חות כספיים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מאוחדים עם דו''חות כספיים של מספר חברות אחרות, או לערוך דו''חות כספיים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שכלולות בהם השקעות במספר חברות אחרות בשיטת השווי המאזני, אם לדעת הרשות</w:t>
                        </w:r>
                      </w:p>
                      <w:p w:rsidR="003A44A1" w:rsidRPr="000B7587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סדרי טיפול נפרדים על תשלובת של חברות כאמור מוצדקת בנסיבות הענין.'</w:t>
                        </w:r>
                      </w:p>
                    </w:tc>
                  </w:tr>
                  <w:tr w:rsidR="003A44A1" w:rsidRPr="000B7587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3A44A1" w:rsidRPr="000B7587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246" w:type="pct"/>
                        <w:gridSpan w:val="2"/>
                      </w:tcPr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18 לחוק העיקרי, במקום סעיף קטן (א) יבוא: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טיוטה של תשקיף תכלול את כל הפרטים שיש לכלול בתשקיף לפי סעיפים 16 ו-17,</w:t>
                        </w:r>
                      </w:p>
                      <w:p w:rsidR="003A44A1" w:rsidRPr="000B7587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ניתן שלא לכלול בטיוטה את מחיר ניירות הערך המוצעים.'</w:t>
                        </w:r>
                      </w:p>
                    </w:tc>
                  </w:tr>
                  <w:tr w:rsidR="003A44A1" w:rsidRPr="000B7587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3A44A1" w:rsidRPr="000B7587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20א</w:t>
                        </w:r>
                      </w:p>
                    </w:tc>
                    <w:tc>
                      <w:tcPr>
                        <w:tcW w:w="4246" w:type="pct"/>
                        <w:gridSpan w:val="2"/>
                      </w:tcPr>
                      <w:p w:rsidR="003A44A1" w:rsidRPr="000B7587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20 לחוק העיקרי יבוא:.</w:t>
                        </w:r>
                      </w:p>
                    </w:tc>
                  </w:tr>
                  <w:tr w:rsidR="003A44A1" w:rsidRPr="000B7587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7" w:type="pct"/>
                      </w:tcPr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(א) נהלי הבדיקה של טיוטות תשקיפים ייקבעו בירי הרשות באישור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האוצר, ויפורסמו ברשומות; נהלי הבריקה יבול שיהיו לפי סוגים של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ערך, של מנפיקים, של מציעים או של הצעות לציבור, או לפי כל סיווג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אחר.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נהלי הבדיקה כאמור בסעיף קטן (א) שאישר שר האוצר,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תמסור הרשות לועדת הכספים של הכנסת, והם יפורסמו ברשומות לאחר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ארבעה עשר ימים מיום מסירת ההודעה, אם עז- אז לא באה דרישה מצד חבר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לבטלם; באה דרישה כאמור, תדון בה הועדה ונהלי הבדיקה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יפורסמו ברשומות לאחר שלושים ימים מיום הדרישה, אם הועדה לא ביטלה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אותם.'</w:t>
                        </w:r>
                      </w:p>
                    </w:tc>
                    <w:tc>
                      <w:tcPr>
                        <w:tcW w:w="879" w:type="pct"/>
                      </w:tcPr>
                      <w:p w:rsidR="003A44A1" w:rsidRPr="000B7587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'נהלי בריקה</w:t>
                        </w:r>
                      </w:p>
                    </w:tc>
                  </w:tr>
                  <w:tr w:rsidR="003A44A1" w:rsidRPr="000B7587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3A44A1" w:rsidRPr="000B7587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 2</w:t>
                        </w:r>
                      </w:p>
                    </w:tc>
                    <w:tc>
                      <w:tcPr>
                        <w:tcW w:w="4246" w:type="pct"/>
                        <w:gridSpan w:val="2"/>
                      </w:tcPr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21 לחוק העיקרי, במקום סעיף קטן (א) יבוא: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''(א) הרשות תיתן היתר לפרסום תשקיף אם נחה דעתה כי נתקיימו בטיוטת התשקיף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 ודרישות הרשות על פיו, וניתנו כל ההיתרים על פי דין שיש לקבל לפני</w:t>
                        </w:r>
                      </w:p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התשקיף-, הרשות רשאית להניח דעתה כאמור על ירי נקיטת נוהל הבדיקה שנראה</w:t>
                        </w:r>
                      </w:p>
                      <w:p w:rsidR="003A44A1" w:rsidRPr="000B7587" w:rsidRDefault="003A44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מתאים מבין נהלי הבדיקה שנקבעו לפי סעיף 20א."</w:t>
                        </w:r>
                      </w:p>
                    </w:tc>
                  </w:tr>
                  <w:tr w:rsidR="003A44A1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7" w:type="pct"/>
                      </w:tcPr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9" w:type="pct"/>
                      </w:tcPr>
                      <w:p w:rsidR="003A44A1" w:rsidRDefault="003A44A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A44A1" w:rsidRDefault="003A44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080" o:spid="_x0000_s1028" type="#_x0000_t202" style="position:absolute;left:0;text-align:left;margin-left:206.45pt;margin-top:73.5pt;width:273.65pt;height:27.5pt;z-index:1;mso-position-horizontal-relative:page;mso-position-vertical-relative:page" stroked="f">
            <v:textbox style="mso-next-textbox:#_x0000_s42080" inset="0,0,0,0">
              <w:txbxContent>
                <w:p w:rsidR="003A44A1" w:rsidRPr="000B7587" w:rsidRDefault="003A44A1">
                  <w:pPr>
                    <w:pStyle w:val="OCRStyle1"/>
                    <w:ind w:left="3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ניירות ערך (תיקון מס' 13), התשנ"ד- 1994*</w:t>
                  </w:r>
                </w:p>
              </w:txbxContent>
            </v:textbox>
            <w10:wrap anchorx="page" anchory="page"/>
          </v:shape>
        </w:pict>
      </w:r>
    </w:p>
    <w:p w:rsidR="003A44A1" w:rsidRDefault="003A44A1">
      <w:pPr>
        <w:rPr>
          <w:rtl/>
        </w:rPr>
      </w:pPr>
      <w:r>
        <w:rPr>
          <w:rtl/>
        </w:rPr>
        <w:br w:type="page"/>
      </w:r>
    </w:p>
    <w:p w:rsidR="003A44A1" w:rsidRDefault="00000000">
      <w:pPr>
        <w:rPr>
          <w:rtl/>
        </w:rPr>
      </w:pPr>
      <w:r>
        <w:pict>
          <v:shape id="_x0000_s42081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2081" inset="0,0,0,0">
              <w:txbxContent>
                <w:p w:rsidR="003A44A1" w:rsidRDefault="003A44A1">
                  <w:r>
                    <w:rPr>
                      <w:rtl/>
                    </w:rPr>
                    <w:t>76                                          ספר החוקים 1452                   י"ט באדר התשנ"ד 02.03.1994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82" o:spid="_x0000_s1030" type="#_x0000_t202" style="position:absolute;left:0;text-align:left;margin-left:283.6pt;margin-top:336.3pt;width:213.45pt;height:16.45pt;z-index:10;mso-position-horizontal-relative:page;mso-position-vertical-relative:page" stroked="f">
            <v:textbox style="mso-next-textbox:#_x0000_s42082" inset="0,0,0,0">
              <w:txbxContent>
                <w:p w:rsidR="003A44A1" w:rsidRPr="003A44A1" w:rsidRDefault="003A44A1">
                  <w:pPr>
                    <w:pStyle w:val="OCRStyle2"/>
                    <w:ind w:left="342"/>
                  </w:pPr>
                  <w:r>
                    <w:rPr>
                      <w:rtl/>
                    </w:rPr>
                    <w:t>4 ס"ח התשנ"א, עמ' 22 ועמ' 190; ק'ת התשנ"ד, עמ' 33.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83" o:spid="_x0000_s1031" type="#_x0000_t202" style="position:absolute;left:0;text-align:left;margin-left:225pt;margin-top:293.3pt;width:82.75pt;height:30.9pt;z-index:9;mso-position-horizontal-relative:page;mso-position-vertical-relative:page" stroked="f">
            <v:textbox style="mso-next-textbox:#_x0000_s42083" inset="0,0,0,0">
              <w:txbxContent>
                <w:p w:rsidR="003A44A1" w:rsidRDefault="003A44A1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A44A1" w:rsidRDefault="003A44A1">
                  <w:pPr>
                    <w:pStyle w:val="OCRStyle2"/>
                    <w:ind w:left="9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84" o:spid="_x0000_s1032" type="#_x0000_t202" style="position:absolute;left:0;text-align:left;margin-left:104.6pt;margin-top:261.45pt;width:125.55pt;height:30.9pt;z-index:8;mso-position-horizontal-relative:page;mso-position-vertical-relative:page" stroked="f">
            <v:textbox style="mso-next-textbox:#_x0000_s42084" inset="0,0,0,0">
              <w:txbxContent>
                <w:p w:rsidR="003A44A1" w:rsidRDefault="003A44A1">
                  <w:pPr>
                    <w:pStyle w:val="OCRStyle2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3A44A1" w:rsidRDefault="003A44A1">
                  <w:pPr>
                    <w:pStyle w:val="OCRStyle2"/>
                    <w:ind w:left="74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85" o:spid="_x0000_s1033" type="#_x0000_t202" style="position:absolute;left:0;text-align:left;margin-left:309.35pt;margin-top:258.05pt;width:81.75pt;height:37.05pt;z-index:7;mso-position-horizontal-relative:page;mso-position-vertical-relative:page" stroked="f">
            <v:textbox style="mso-next-textbox:#_x0000_s42085" inset="0,0,0,0">
              <w:txbxContent>
                <w:p w:rsidR="003A44A1" w:rsidRDefault="003A44A1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A44A1" w:rsidRDefault="003A44A1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86" o:spid="_x0000_s1034" type="#_x0000_t202" style="position:absolute;left:0;text-align:left;margin-left:394.7pt;margin-top:291.55pt;width:92.05pt;height:31.9pt;z-index:6;mso-position-horizontal-relative:page;mso-position-vertical-relative:page" stroked="f">
            <v:textbox style="mso-next-textbox:#_x0000_s42086" inset="0,0,0,0">
              <w:txbxContent>
                <w:p w:rsidR="003A44A1" w:rsidRDefault="003A44A1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3A44A1" w:rsidRDefault="003A44A1">
                  <w:pPr>
                    <w:pStyle w:val="OCRStyle2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87" o:spid="_x0000_s1035" type="#_x0000_t202" style="position:absolute;left:0;text-align:left;margin-left:93.35pt;margin-top:66.8pt;width:470.05pt;height:185.15pt;z-index:5;mso-position-horizontal-relative:page;mso-position-vertical-relative:page" stroked="f">
            <v:textbox style="mso-next-textbox:#_x0000_s4208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2"/>
                    <w:gridCol w:w="1314"/>
                  </w:tblGrid>
                  <w:tr w:rsidR="003A44A1" w:rsidRPr="003A44A1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3A44A1" w:rsidRDefault="003A4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46(ב) לחוק העיקרי, במקום ''רוב חברי הדירקטוריון המהווים לפחות 75%</w:t>
                        </w:r>
                      </w:p>
                      <w:p w:rsidR="003A44A1" w:rsidRDefault="003A4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מהמשתתפים בישיבה'' יבוא ''שני שלישים מחברי הדירקטוריון המשתתפים בישיבה ודשאים</w:t>
                        </w:r>
                      </w:p>
                      <w:p w:rsidR="003A44A1" w:rsidRDefault="003A4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להשתתף בהצבעה'',</w:t>
                        </w:r>
                      </w:p>
                    </w:tc>
                    <w:tc>
                      <w:tcPr>
                        <w:tcW w:w="769" w:type="pct"/>
                      </w:tcPr>
                      <w:p w:rsidR="003A44A1" w:rsidRPr="003A44A1" w:rsidRDefault="003A4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</w:tr>
                  <w:tr w:rsidR="003A44A1" w:rsidRPr="003A44A1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3A44A1" w:rsidRDefault="003A4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48(א) לחוק העיקרי, במקום "הבורסה רשאית, בהחלטה רגילה של האסיפה</w:t>
                        </w:r>
                      </w:p>
                      <w:p w:rsidR="003A44A1" w:rsidRPr="003A44A1" w:rsidRDefault="003A4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הכללית'' יבוא ''דירקטוריון הבורסה רשאי''.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3A44A1" w:rsidRPr="003A44A1" w:rsidRDefault="003A4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48</w:t>
                        </w:r>
                      </w:p>
                    </w:tc>
                  </w:tr>
                  <w:tr w:rsidR="003A44A1" w:rsidRPr="003A44A1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3A44A1" w:rsidRDefault="003A4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בחוק ניירות ערך (תיקון מס' 11), התשנ''א- 1990 4, בסעיף 14, במקום סעיף קטן (ד)</w:t>
                        </w:r>
                      </w:p>
                      <w:p w:rsidR="003A44A1" w:rsidRDefault="003A4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3A44A1" w:rsidRDefault="003A4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תחולתו של סעיף 56(ד) לחוק העיקרי כנוסחו בחוק זה, עד יום טי באדר התשנ''ו</w:t>
                        </w:r>
                      </w:p>
                      <w:p w:rsidR="003A44A1" w:rsidRPr="003A44A1" w:rsidRDefault="003A4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 בפברואר 1996).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3A44A1" w:rsidRDefault="003A4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A44A1" w:rsidRDefault="003A4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</w:t>
                        </w:r>
                      </w:p>
                      <w:p w:rsidR="003A44A1" w:rsidRDefault="003A4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11) -</w:t>
                        </w:r>
                      </w:p>
                      <w:p w:rsidR="003A44A1" w:rsidRPr="003A44A1" w:rsidRDefault="003A4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</w:t>
                        </w:r>
                      </w:p>
                    </w:tc>
                  </w:tr>
                  <w:tr w:rsidR="003A44A1" w:rsidRPr="003A44A1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3A44A1" w:rsidRPr="003A44A1" w:rsidRDefault="003A4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תחילתו של סעיף 7 ביום י''ח באדר התשנ''ד (1 במרס 1994).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3A44A1" w:rsidRPr="003A44A1" w:rsidRDefault="003A44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A44A1" w:rsidRDefault="003A44A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B758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38C3E9D-4606-4C9D-AA7F-E20BCBF03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B758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A44A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2008-04-07T09:31:00Z</dcterms:created>
  <dcterms:modified xsi:type="dcterms:W3CDTF">2008-04-07T09:31:00Z</dcterms:modified>
</cp:coreProperties>
</file>