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66AB5" w:rsidRDefault="00066AB5">
      <w:pPr>
        <w:rPr>
          <w:rtl/>
        </w:rPr>
      </w:pPr>
    </w:p>
    <w:p w:rsidR="00066AB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61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761" inset="0,0,0,0">
              <w:txbxContent>
                <w:p w:rsidR="00066AB5" w:rsidRDefault="00066AB5">
                  <w:r>
                    <w:rPr>
                      <w:rtl/>
                    </w:rPr>
                    <w:t>144                                         ספר החוקים 1464                  ט' בסיוון התשנ"ד 19.05.1994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1762" o:spid="_x0000_s1026" type="#_x0000_t202" style="position:absolute;left:0;text-align:left;margin-left:87.6pt;margin-top:713.1pt;width:242.75pt;height:38.6pt;z-index:7;mso-position-horizontal-relative:page;mso-position-vertical-relative:page" stroked="f">
            <v:textbox style="mso-next-textbox:#_x0000_s1762" inset="0,0,0,0">
              <w:txbxContent>
                <w:p w:rsidR="00066AB5" w:rsidRDefault="00066AB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63" o:spid="_x0000_s1027" type="#_x0000_t202" style="position:absolute;left:0;text-align:left;margin-left:102.25pt;margin-top:664pt;width:388.3pt;height:42.15pt;z-index:6;mso-position-horizontal-relative:page;mso-position-vertical-relative:page" stroked="f">
            <v:textbox style="mso-next-textbox:#_x0000_s1763" inset="0,0,0,0">
              <w:txbxContent>
                <w:p w:rsidR="00066AB5" w:rsidRDefault="00066AB5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כ"ח באייר התשנ'ד (9 במאי 1994); הצעת החוק ודברי הסבר פורסמו בהצעות חוק 2269,</w:t>
                  </w:r>
                </w:p>
                <w:p w:rsidR="00066AB5" w:rsidRDefault="00066AB5">
                  <w:pPr>
                    <w:pStyle w:val="OCRStyle1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מיום ט*ו באייר התשנ'ד (26 באפריל 1994), עמ' 446.</w:t>
                  </w:r>
                </w:p>
                <w:p w:rsidR="00066AB5" w:rsidRDefault="00066AB5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1ס'ח התשי"ח, עמ' 92; התשנ'ד, עמ' 144.</w:t>
                  </w:r>
                </w:p>
                <w:p w:rsidR="00066AB5" w:rsidRPr="00066AB5" w:rsidRDefault="00066AB5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1 ס"ה התשמ'ח, עמ' 30.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764" o:spid="_x0000_s1028" type="#_x0000_t202" style="position:absolute;left:0;text-align:left;margin-left:100.45pt;margin-top:622.65pt;width:93.85pt;height:32.65pt;z-index:5;mso-position-horizontal-relative:page;mso-position-vertical-relative:page" stroked="f">
            <v:textbox style="mso-next-textbox:#_x0000_s1764" inset="0,0,0,0">
              <w:txbxContent>
                <w:p w:rsidR="00066AB5" w:rsidRDefault="00066AB5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066AB5" w:rsidRDefault="00066AB5">
                  <w:pPr>
                    <w:pStyle w:val="OCRStyle1"/>
                    <w:ind w:left="15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765" o:spid="_x0000_s1029" type="#_x0000_t202" style="position:absolute;left:0;text-align:left;margin-left:369.95pt;margin-top:631.35pt;width:111.1pt;height:23.95pt;z-index:4;mso-position-horizontal-relative:page;mso-position-vertical-relative:page" stroked="f">
            <v:textbox style="mso-next-textbox:#_x0000_s1765" inset="0,0,0,0">
              <w:txbxContent>
                <w:p w:rsidR="00066AB5" w:rsidRDefault="00066AB5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066AB5" w:rsidRDefault="00066AB5">
                  <w:pPr>
                    <w:pStyle w:val="OCRStyle1"/>
                    <w:ind w:left="33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66" o:spid="_x0000_s1030" type="#_x0000_t202" style="position:absolute;left:0;text-align:left;margin-left:246.8pt;margin-top:600.25pt;width:88.7pt;height:28.3pt;z-index:3;mso-position-horizontal-relative:page;mso-position-vertical-relative:page" stroked="f">
            <v:textbox style="mso-next-textbox:#_x0000_s1766" inset="0,0,0,0">
              <w:txbxContent>
                <w:p w:rsidR="00066AB5" w:rsidRDefault="00066AB5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066AB5" w:rsidRDefault="00066AB5">
                  <w:pPr>
                    <w:pStyle w:val="OCRStyle1"/>
                    <w:ind w:left="23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67" o:spid="_x0000_s1031" type="#_x0000_t202" style="position:absolute;left:0;text-align:left;margin-left:89.35pt;margin-top:538.3pt;width:475.2pt;height:58.6pt;z-index:2;mso-position-horizontal-relative:page;mso-position-vertical-relative:page" stroked="f">
            <v:textbox style="mso-next-textbox:#_x0000_s1767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61"/>
                    <w:gridCol w:w="1075"/>
                    <w:gridCol w:w="1505"/>
                  </w:tblGrid>
                  <w:tr w:rsidR="00066AB5" w:rsidRPr="00066AB5">
                    <w:trPr>
                      <w:jc w:val="right"/>
                    </w:trPr>
                    <w:tc>
                      <w:tcPr>
                        <w:tcW w:w="4129" w:type="pct"/>
                        <w:gridSpan w:val="2"/>
                      </w:tcPr>
                      <w:p w:rsidR="00066AB5" w:rsidRPr="00066AB5" w:rsidRDefault="00066A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מבקר המרינה, התשי'ח-1958 [נוסח משולב] 1, אחרי סעיף 3 יבוא:</w:t>
                        </w:r>
                      </w:p>
                    </w:tc>
                    <w:tc>
                      <w:tcPr>
                        <w:tcW w:w="871" w:type="pct"/>
                      </w:tcPr>
                      <w:p w:rsidR="00066AB5" w:rsidRPr="00066AB5" w:rsidRDefault="00066A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4</w:t>
                        </w:r>
                      </w:p>
                    </w:tc>
                  </w:tr>
                  <w:tr w:rsidR="00066AB5">
                    <w:trPr>
                      <w:jc w:val="right"/>
                    </w:trPr>
                    <w:tc>
                      <w:tcPr>
                        <w:tcW w:w="3507" w:type="pct"/>
                      </w:tcPr>
                      <w:p w:rsidR="00066AB5" w:rsidRDefault="00066A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במעמד הצהרת האמונים לפי סעיף 9 לחוק-יסוד: מבקר המדינה/ רשאי</w:t>
                        </w:r>
                      </w:p>
                      <w:p w:rsidR="00066AB5" w:rsidRPr="00066AB5" w:rsidRDefault="00066A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המבקר, בתיאום עם יושב -ראש הכנסת, לשאת דברים לפני הכנסת.*</w:t>
                        </w:r>
                      </w:p>
                    </w:tc>
                    <w:tc>
                      <w:tcPr>
                        <w:tcW w:w="622" w:type="pct"/>
                      </w:tcPr>
                      <w:p w:rsidR="00066AB5" w:rsidRDefault="00066A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'נאום המבקר</w:t>
                        </w:r>
                      </w:p>
                      <w:p w:rsidR="00066AB5" w:rsidRPr="00066AB5" w:rsidRDefault="00066A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בכנסת</w:t>
                        </w:r>
                      </w:p>
                    </w:tc>
                    <w:tc>
                      <w:tcPr>
                        <w:tcW w:w="871" w:type="pct"/>
                      </w:tcPr>
                      <w:p w:rsidR="00066AB5" w:rsidRDefault="00066AB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066AB5" w:rsidRDefault="00066AB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68" o:spid="_x0000_s1032" type="#_x0000_t202" style="position:absolute;left:0;text-align:left;margin-left:150.35pt;margin-top:516.7pt;width:316pt;height:17.25pt;z-index:1;mso-position-horizontal-relative:page;mso-position-vertical-relative:page" stroked="f">
            <v:textbox style="mso-next-textbox:#_x0000_s1768" inset="0,0,0,0">
              <w:txbxContent>
                <w:p w:rsidR="00066AB5" w:rsidRPr="00066AB5" w:rsidRDefault="00066AB5">
                  <w:pPr>
                    <w:pStyle w:val="OCRStyle1"/>
                    <w:ind w:left="81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מבקר המדינה (תיקון מס' 21), התשנ"ד-1994*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66AB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66AB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432FF7C-2221-4048-BD2E-5AB2C2184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66AB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2008-04-07T09:37:00Z</dcterms:created>
  <dcterms:modified xsi:type="dcterms:W3CDTF">2008-04-07T09:37:00Z</dcterms:modified>
</cp:coreProperties>
</file>