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43E2" w:rsidRDefault="003E43E2">
      <w:pPr>
        <w:rPr>
          <w:rtl/>
        </w:rPr>
      </w:pPr>
    </w:p>
    <w:p w:rsidR="003E43E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36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364" inset="0,0,0,0">
              <w:txbxContent>
                <w:p w:rsidR="000065DC" w:rsidRDefault="000065DC">
                  <w:r>
                    <w:rPr>
                      <w:rtl/>
                    </w:rPr>
                    <w:t>10                                          ספר החוקים 1486                  ו' בכסליו התשנ"ה 09.11.1994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65" o:spid="_x0000_s1026" type="#_x0000_t202" style="position:absolute;left:0;text-align:left;margin-left:80.25pt;margin-top:661.05pt;width:391.65pt;height:92.05pt;z-index:3;mso-position-horizontal-relative:page;mso-position-vertical-relative:page" stroked="f">
            <v:textbox style="mso-next-textbox:#_x0000_s42365" inset="0,0,0,0">
              <w:txbxContent>
                <w:p w:rsidR="000065DC" w:rsidRDefault="000065DC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בכ"ט בחשון התשנ"ה (3 בנובמבר 994 ו); הצעת החוק ודברי הסבר פורסמו בהצעות חוק 2243,</w:t>
                  </w:r>
                </w:p>
                <w:p w:rsidR="000065DC" w:rsidRDefault="000065DC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מיום י''ט בשבט התשנ"ד (וג בינואר 1994), עמ' 198.</w:t>
                  </w:r>
                </w:p>
                <w:p w:rsidR="000065DC" w:rsidRPr="003E43E2" w:rsidRDefault="000065DC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י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66" o:spid="_x0000_s1027" type="#_x0000_t202" style="position:absolute;left:0;text-align:left;margin-left:84.6pt;margin-top:86.85pt;width:471.65pt;height:565.7pt;z-index:2;mso-position-horizontal-relative:page;mso-position-vertical-relative:page" stroked="f">
            <v:textbox style="mso-next-textbox:#_x0000_s4236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1"/>
                    <w:gridCol w:w="1425"/>
                  </w:tblGrid>
                  <w:tr w:rsidR="000065DC" w:rsidRPr="003E43E2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0065DC" w:rsidRDefault="000065D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87ו(א&gt; לפקודת מס הבנסהי (להלן - הפקודה), בפסקה (ו), המלים 'בהפחתת סכום</w:t>
                        </w:r>
                      </w:p>
                      <w:p w:rsidR="000065DC" w:rsidRPr="003E43E2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4,000 שקלים" - יימחקו.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0065DC" w:rsidRPr="003E43E2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167</w:t>
                        </w:r>
                      </w:p>
                    </w:tc>
                  </w:tr>
                  <w:tr w:rsidR="000065DC" w:rsidRPr="003E43E2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188 לפקודה -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(א) יבוא-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''(א) לא הגיש ארם דו''ח במועד שנקבע בסעיף 132, יוטל עליו, בעד כל חודש של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פיגור, קנס של 200 שקלים חדשים; אולם אם נקבע לאותו ארם מועד מאוחר יותר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הדו"ח לפי סעיף 133 (להלן - המועד המאוחר), ואותו אדם לא הגיש את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 במועד המאוחר, יוטל עליו קנס של 400 שקלים חדשים בשל כל חודש של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 החל במועד המאוחר.''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בטל.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"5,000 ו שקלים" יבוא "200 שקלים חדשים";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(ר), ברישה, במקום "רשאי פקיד השומה להטיל עליו בעד כל שבועיים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פיגור קנס" יבוא "יוטל עליו, בעד כל חודש של פיגור, קנס של 200 שקלים חדשים"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ופסקאות (ו) עד (3) יימחקו-,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(ו), במקום "1,500 שקלים' יבוא "100 שקלים חדשים".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במקום סעיף קטן (ז) יבוא: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לא הגיש אדם במועד דו"ח על סעיף 135(1), יוטל עליו, בעד כל חודש של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פיגור, קנס של 200 שקלים חדשים; אולם אם נקבע לו בתחילה מועד להגשת הדו"ח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135(1), ועל פי בקשת אותו אדם נקבע לו לאחר מבן מועד מאוחר יותר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הדו"ח (להלן - המועד המאוחר), ואותו ארם הגיש את הדו"ח לאחר המועד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המאוחר, יוטל עליו קנס של 400 שקלים חדשים בער כל חודש של פיגור החל במועד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המאוחר."</w:t>
                        </w:r>
                      </w:p>
                      <w:p w:rsidR="000065DC" w:rsidRPr="003E43E2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סעיף קטן (ט) - בטל.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0065DC" w:rsidRPr="003E43E2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188</w:t>
                        </w:r>
                      </w:p>
                    </w:tc>
                  </w:tr>
                  <w:tr w:rsidR="000065DC" w:rsidRPr="003E43E2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190 לפקודה -</w:t>
                        </w:r>
                      </w:p>
                      <w:p w:rsidR="000065DC" w:rsidRDefault="000065DC">
                        <w:pPr>
                          <w:pStyle w:val="OCRStyle1"/>
                        </w:pPr>
                        <w:r>
                          <w:rPr>
                            <w:rtl/>
                          </w:rPr>
                          <w:t>)0 במקום סעיף קטן 0</w:t>
                        </w:r>
                        <w:r>
                          <w:t xml:space="preserve">x10 </w:t>
                        </w:r>
                        <w:r>
                          <w:rPr>
                            <w:rtl/>
                          </w:rPr>
                          <w:t>יבוא</w:t>
                        </w:r>
                        <w:r>
                          <w:t>: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"(א)(ו)(א) פיגר אדם יותר משבעה ימים בתשלום מקדמה שהוא חייב בה או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חלק ממנה, יווסף לסכום שבפיגור קנס בגובה הפרשי הצמדה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כמשמעותם בסעיף 159א(א) (להלן - הפרשי הצמדה וריבית)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מהמועד שנקבע לתשלום ועד לתשלום הסכום שבפיגור, או עד תום שנת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שלגביה נדרשה המקדמה, לפי המוקדם (להלן - תום תקופת הקנס);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לקנס כאמור בפסקת משנה (א) יווספו הפרשי הצמדה וריבית מתום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הקנס ועד למועד תשלום הקנס ויראו את הקנס כחוב מס לענין סעיף</w:t>
                        </w:r>
                      </w:p>
                      <w:p w:rsidR="000065DC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 וא.'</w:t>
                        </w:r>
                      </w:p>
                      <w:p w:rsidR="000065DC" w:rsidRPr="003E43E2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(ב) ו-(ג) - בטלים.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0065DC" w:rsidRPr="003E43E2" w:rsidRDefault="000065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90 ו</w:t>
                        </w:r>
                      </w:p>
                    </w:tc>
                  </w:tr>
                </w:tbl>
                <w:p w:rsidR="000065DC" w:rsidRDefault="000065D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367" o:spid="_x0000_s1028" type="#_x0000_t202" style="position:absolute;left:0;text-align:left;margin-left:137.05pt;margin-top:60.15pt;width:290.05pt;height:22.35pt;z-index:1;mso-position-horizontal-relative:page;mso-position-vertical-relative:page" stroked="f">
            <v:textbox style="mso-next-textbox:#_x0000_s42367" inset="0,0,0,0">
              <w:txbxContent>
                <w:p w:rsidR="000065DC" w:rsidRPr="003E43E2" w:rsidRDefault="000065DC">
                  <w:pPr>
                    <w:pStyle w:val="OCRStyle1"/>
                    <w:ind w:left="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99), התשנ"ה-1994*</w:t>
                  </w:r>
                </w:p>
              </w:txbxContent>
            </v:textbox>
            <w10:wrap anchorx="page" anchory="page"/>
          </v:shape>
        </w:pict>
      </w:r>
    </w:p>
    <w:p w:rsidR="000065DC" w:rsidRDefault="000065DC">
      <w:pPr>
        <w:rPr>
          <w:rtl/>
        </w:rPr>
      </w:pPr>
      <w:r>
        <w:rPr>
          <w:rtl/>
        </w:rPr>
        <w:br w:type="page"/>
      </w:r>
    </w:p>
    <w:p w:rsidR="000065DC" w:rsidRDefault="00000000">
      <w:pPr>
        <w:rPr>
          <w:rtl/>
        </w:rPr>
      </w:pPr>
      <w:r>
        <w:pict>
          <v:shape id="_x0000_s42368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2368" inset="0,0,0,0">
              <w:txbxContent>
                <w:p w:rsidR="000065DC" w:rsidRDefault="000065DC">
                  <w:r>
                    <w:rPr>
                      <w:rtl/>
                    </w:rPr>
                    <w:t>11                                          ספר החוקים 1486                  ו' בכסליו התשנ"ה 09.11.1994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69" o:spid="_x0000_s1030" type="#_x0000_t202" style="position:absolute;left:0;text-align:left;margin-left:331.15pt;margin-top:522.05pt;width:221.15pt;height:3in;z-index:10;mso-position-horizontal-relative:page;mso-position-vertical-relative:page" stroked="f">
            <v:textbox style="mso-next-textbox:#_x0000_s42369" inset="0,0,0,0">
              <w:txbxContent>
                <w:p w:rsidR="000065DC" w:rsidRPr="000065DC" w:rsidRDefault="000065DC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2 ס"ח התשכ''ג,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70" o:spid="_x0000_s1031" type="#_x0000_t202" style="position:absolute;left:0;text-align:left;margin-left:164.05pt;margin-top:404.05pt;width:116.25pt;height:38.8pt;z-index:9;mso-position-horizontal-relative:page;mso-position-vertical-relative:page" stroked="f">
            <v:textbox style="mso-next-textbox:#_x0000_s42370" inset="0,0,0,0">
              <w:txbxContent>
                <w:p w:rsidR="000065DC" w:rsidRDefault="000065DC">
                  <w:pPr>
                    <w:pStyle w:val="OCRStyle2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0065DC" w:rsidRDefault="000065DC">
                  <w:pPr>
                    <w:pStyle w:val="OCRStyle2"/>
                    <w:ind w:left="59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71" o:spid="_x0000_s1032" type="#_x0000_t202" style="position:absolute;left:0;text-align:left;margin-left:290.6pt;margin-top:430.8pt;width:84.35pt;height:32.65pt;z-index:8;mso-position-horizontal-relative:page;mso-position-vertical-relative:page" stroked="f">
            <v:textbox style="mso-next-textbox:#_x0000_s42371" inset="0,0,0,0">
              <w:txbxContent>
                <w:p w:rsidR="000065DC" w:rsidRDefault="000065DC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065DC" w:rsidRDefault="000065DC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72" o:spid="_x0000_s1033" type="#_x0000_t202" style="position:absolute;left:0;text-align:left;margin-left:379.3pt;margin-top:404.85pt;width:73.25pt;height:27.7pt;z-index:7;mso-position-horizontal-relative:page;mso-position-vertical-relative:page" stroked="f">
            <v:textbox style="mso-next-textbox:#_x0000_s42372" inset="0,0,0,0">
              <w:txbxContent>
                <w:p w:rsidR="000065DC" w:rsidRDefault="000065DC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065DC" w:rsidRDefault="000065DC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73" o:spid="_x0000_s1034" type="#_x0000_t202" style="position:absolute;left:0;text-align:left;margin-left:458.5pt;margin-top:429pt;width:69.7pt;height:33.65pt;z-index:6;mso-position-horizontal-relative:page;mso-position-vertical-relative:page" stroked="f">
            <v:textbox style="mso-next-textbox:#_x0000_s42373" inset="0,0,0,0">
              <w:txbxContent>
                <w:p w:rsidR="000065DC" w:rsidRDefault="000065DC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065DC" w:rsidRDefault="000065DC">
                  <w:pPr>
                    <w:pStyle w:val="OCRStyle2"/>
                    <w:ind w:left="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74" o:spid="_x0000_s1035" type="#_x0000_t202" style="position:absolute;left:0;text-align:left;margin-left:83.25pt;margin-top:57.15pt;width:462.15pt;height:341.75pt;z-index:5;mso-position-horizontal-relative:page;mso-position-vertical-relative:page" stroked="f">
            <v:textbox style="mso-next-textbox:#_x0000_s4237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3"/>
                    <w:gridCol w:w="7009"/>
                  </w:tblGrid>
                  <w:tr w:rsidR="000065DC" w:rsidRPr="000065D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0065DC" w:rsidRP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191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ו9ו(ב) לפקודה, במקום "25%" יבוא '500/0', במקום '10%' יבוא '15%', והקטע החל</w:t>
                        </w:r>
                      </w:p>
                      <w:p w:rsidR="000065DC" w:rsidRP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במלה "ואולם" - יימחק.</w:t>
                        </w:r>
                      </w:p>
                    </w:tc>
                  </w:tr>
                  <w:tr w:rsidR="000065DC" w:rsidRPr="000065D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0065DC" w:rsidRP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91וא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91 וא לפקודה, במקום 'בשיעורים שלהלן מן הסכום שלא ניכה' יבוא 'בשיעור של</w:t>
                        </w:r>
                      </w:p>
                      <w:p w:rsidR="000065DC" w:rsidRP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15% מן הסכומים שלא ניבה- ופסקאות משנה (1), (2) ו-(3) - יימחקו.</w:t>
                        </w:r>
                      </w:p>
                    </w:tc>
                  </w:tr>
                  <w:tr w:rsidR="000065DC" w:rsidRPr="000065D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</w:t>
                        </w:r>
                      </w:p>
                      <w:p w:rsidR="000065DC" w:rsidRP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- מס' 27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מס שבח מקרקעין, התשכ-ג-1963 2, בסעיף 95, בסעיף קטן (א), במקום "25%" יבוא</w:t>
                        </w:r>
                      </w:p>
                      <w:p w:rsidR="000065DC" w:rsidRP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"50%" ובמקום "10%" יבוא "15%".</w:t>
                        </w:r>
                      </w:p>
                    </w:tc>
                  </w:tr>
                  <w:tr w:rsidR="000065DC" w:rsidRPr="000065D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0065DC" w:rsidRP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(1) תחילתו של סעיף 1 ביום י"ח בטבת התשנ"ד (ו בינואר 1994) והוא יחול לגבי</w:t>
                        </w:r>
                      </w:p>
                      <w:p w:rsid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שלא שולמו עד יום זה;</w:t>
                        </w:r>
                      </w:p>
                      <w:p w:rsid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תחולתם של סעיפים 2(1) ו-2(2) לגבי דוחו"ת לשנת המס 1994 ואילך;</w:t>
                        </w:r>
                      </w:p>
                      <w:p w:rsid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תחולתם של סעיפים 2(3) ו-2(4) לגבי דוחו'ת המתייחסים לניכויים בשנת המס 1995</w:t>
                        </w:r>
                      </w:p>
                      <w:p w:rsid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ואילך;</w:t>
                        </w:r>
                      </w:p>
                      <w:p w:rsid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תחולתו של סעיף 2(5) לגבי טפסים המתייחסים לשנת המס 1994 ואילך;</w:t>
                        </w:r>
                      </w:p>
                      <w:p w:rsid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תחולתו של סעיף 2(6) לגבי דו'ח שנדרש אדם להגישו מיום כ'ט בטבת התשנ'ה</w:t>
                        </w:r>
                      </w:p>
                      <w:p w:rsid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 בינואר 0995 ואילך;</w:t>
                        </w:r>
                      </w:p>
                      <w:p w:rsid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תחולתו של סעיף 3 לגבי מקדמות לשנת המס 1995 ואילף,</w:t>
                        </w:r>
                      </w:p>
                      <w:p w:rsid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תחולתו של סעיף 4 לגבי שומות לשנת המס 1994 ואילך;</w:t>
                        </w:r>
                      </w:p>
                      <w:p w:rsid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תחולתו של סעיף 5 לגבי ניכויים בשנת המס 1995 ואילך;</w:t>
                        </w:r>
                      </w:p>
                      <w:p w:rsid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תחולתו של סעיף 6 לגבי עסקאות שנעשו ביום כ'ט בטבת התשנ'ה (1 בינואר 1995)</w:t>
                        </w:r>
                      </w:p>
                      <w:p w:rsidR="000065DC" w:rsidRPr="000065DC" w:rsidRDefault="000065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ואילך.</w:t>
                        </w:r>
                      </w:p>
                    </w:tc>
                  </w:tr>
                </w:tbl>
                <w:p w:rsidR="000065DC" w:rsidRDefault="000065D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E43E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116035-1BD8-4BF3-9628-485F85FF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E43E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065D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2008-04-07T09:37:00Z</dcterms:created>
  <dcterms:modified xsi:type="dcterms:W3CDTF">2008-04-07T09:38:00Z</dcterms:modified>
</cp:coreProperties>
</file>