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3C02" w:rsidRDefault="00B43C02">
      <w:pPr>
        <w:rPr>
          <w:rtl/>
        </w:rPr>
      </w:pPr>
    </w:p>
    <w:p w:rsidR="00B43C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383" inset="0,0,0,0">
              <w:txbxContent>
                <w:p w:rsidR="00B43C02" w:rsidRDefault="00B43C02">
                  <w:r>
                    <w:rPr>
                      <w:rtl/>
                    </w:rPr>
                    <w:t>4                                           ספר החוקים 1484                  ד' בכסליו התשנ"ה 07.11.1994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4" o:spid="_x0000_s1026" type="#_x0000_t202" style="position:absolute;left:0;text-align:left;margin-left:81.9pt;margin-top:276.7pt;width:420.95pt;height:39.6pt;z-index:7;mso-position-horizontal-relative:page;mso-position-vertical-relative:page" stroked="f">
            <v:textbox style="mso-next-textbox:#_x0000_s42384" inset="0,0,0,0">
              <w:txbxContent>
                <w:p w:rsidR="00B43C02" w:rsidRDefault="00B43C02">
                  <w:pPr>
                    <w:pStyle w:val="OCRStyle1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</w:t>
                  </w:r>
                  <w:r>
                    <w:rPr>
                      <w:rtl/>
                    </w:rPr>
                    <w:tab/>
                    <w:t>ט בחשון התשנ"ה (3 בנובמבר 1994): הצעת החוק ודברי הסבר פורסמו בהצעות חוק 285:,</w:t>
                  </w:r>
                </w:p>
                <w:p w:rsidR="00B43C02" w:rsidRDefault="00B43C02">
                  <w:pPr>
                    <w:pStyle w:val="OCRStyle1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מיום י-ח בתמוז התשנ"ד (27 ביוני 1994), עמ' 510.</w:t>
                  </w:r>
                </w:p>
                <w:p w:rsidR="00B43C02" w:rsidRPr="00B43C02" w:rsidRDefault="00B43C02">
                  <w:pPr>
                    <w:pStyle w:val="OCRStyle1"/>
                    <w:ind w:left="796"/>
                  </w:pPr>
                  <w:r>
                    <w:rPr>
                      <w:rtl/>
                    </w:rPr>
                    <w:t>1 ס'ח התשכ"ט, עמ' 232; התשנ'ג, עמ'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5" o:spid="_x0000_s1027" type="#_x0000_t202" style="position:absolute;left:0;text-align:left;margin-left:210.2pt;margin-top:227.8pt;width:95.65pt;height:30.7pt;z-index:6;mso-position-horizontal-relative:page;mso-position-vertical-relative:page" stroked="f">
            <v:textbox style="mso-next-textbox:#_x0000_s42385" inset="0,0,0,0">
              <w:txbxContent>
                <w:p w:rsidR="00B43C02" w:rsidRDefault="00B43C0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43C02" w:rsidRDefault="00B43C02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6" o:spid="_x0000_s1028" type="#_x0000_t202" style="position:absolute;left:0;text-align:left;margin-left:376.35pt;margin-top:225.8pt;width:86.9pt;height:32.65pt;z-index:5;mso-position-horizontal-relative:page;mso-position-vertical-relative:page" stroked="f">
            <v:textbox style="mso-next-textbox:#_x0000_s42386" inset="0,0,0,0">
              <w:txbxContent>
                <w:p w:rsidR="00B43C02" w:rsidRDefault="00B43C0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43C02" w:rsidRDefault="00B43C02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7" o:spid="_x0000_s1029" type="#_x0000_t202" style="position:absolute;left:0;text-align:left;margin-left:84.5pt;margin-top:198.3pt;width:129.1pt;height:27.3pt;z-index:4;mso-position-horizontal-relative:page;mso-position-vertical-relative:page" stroked="f">
            <v:textbox style="mso-next-textbox:#_x0000_s42387" inset="0,0,0,0">
              <w:txbxContent>
                <w:p w:rsidR="00B43C02" w:rsidRDefault="00B43C0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43C02" w:rsidRDefault="00B43C02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8" o:spid="_x0000_s1030" type="#_x0000_t202" style="position:absolute;left:0;text-align:left;margin-left:296.35pt;margin-top:194.95pt;width:92.05pt;height:30.7pt;z-index:3;mso-position-horizontal-relative:page;mso-position-vertical-relative:page" stroked="f">
            <v:textbox style="mso-next-textbox:#_x0000_s42388" inset="0,0,0,0">
              <w:txbxContent>
                <w:p w:rsidR="00B43C02" w:rsidRDefault="00B43C0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43C02" w:rsidRDefault="00B43C0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9" o:spid="_x0000_s1031" type="#_x0000_t202" style="position:absolute;left:0;text-align:left;margin-left:83.7pt;margin-top:111.35pt;width:457.2pt;height:80.8pt;z-index:2;mso-position-horizontal-relative:page;mso-position-vertical-relative:page" stroked="f">
            <v:textbox style="mso-next-textbox:#_x0000_s423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2"/>
                    <w:gridCol w:w="1380"/>
                  </w:tblGrid>
                  <w:tr w:rsidR="00B43C02" w:rsidRPr="00B43C0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B43C02" w:rsidRP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סעיף וגא לחוק עידוד התעשיה (מסים), התשכ'ט-1969 1 - בטל.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B43C02" w:rsidRP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</w:tr>
                  <w:tr w:rsidR="00B43C02" w:rsidRPr="00B43C0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ו לא יחולו לגבי מניות של חברה תעשייתית, שהבקשה להתיר פרסומו של</w:t>
                        </w:r>
                      </w:p>
                      <w:p w:rsid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בשלהן הוגשה כדין לפני פרסומו של חוק זה, ובלבד שנרשמו למסחר בבורסה לא יאוחר</w:t>
                        </w:r>
                      </w:p>
                      <w:p w:rsidR="00B43C02" w:rsidRP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ח' בטבת התשנ"ו (ו3 בדצמבר 1995).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B43C02" w:rsidRPr="00B43C02" w:rsidRDefault="00B43C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B43C02" w:rsidRDefault="00B43C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90" o:spid="_x0000_s1032" type="#_x0000_t202" style="position:absolute;left:0;text-align:left;margin-left:108.65pt;margin-top:89pt;width:320.15pt;height:19.8pt;z-index:1;mso-position-horizontal-relative:page;mso-position-vertical-relative:page" stroked="f">
            <v:textbox style="mso-next-textbox:#_x0000_s42390" inset="0,0,0,0">
              <w:txbxContent>
                <w:p w:rsidR="00B43C02" w:rsidRPr="00B43C02" w:rsidRDefault="00B43C02">
                  <w:pPr>
                    <w:pStyle w:val="OCRStyle1"/>
                    <w:ind w:left="1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עידוד התעשיה (מסים) (תיקון מס' 12),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3C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671650-F552-49BC-87B0-CC48E42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3C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2008-04-07T09:36:00Z</dcterms:created>
  <dcterms:modified xsi:type="dcterms:W3CDTF">2008-04-07T09:36:00Z</dcterms:modified>
</cp:coreProperties>
</file>