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87FD3" w:rsidRDefault="00787FD3">
      <w:pPr>
        <w:rPr>
          <w:rtl/>
        </w:rPr>
      </w:pPr>
    </w:p>
    <w:p w:rsidR="00787FD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42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2424" inset="0,0,0,0">
              <w:txbxContent>
                <w:p w:rsidR="006C0DAC" w:rsidRDefault="006C0DAC">
                  <w:r>
                    <w:rPr>
                      <w:rtl/>
                    </w:rPr>
                    <w:t>16                                          ספר החוקים 1488                 כ"ב בכסליו התשנ"ה 25.11.1994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25" o:spid="_x0000_s1026" type="#_x0000_t202" style="position:absolute;left:0;text-align:left;margin-left:80pt;margin-top:667.6pt;width:408.1pt;height:77.6pt;z-index:3;mso-position-horizontal-relative:page;mso-position-vertical-relative:page" stroked="f">
            <v:textbox style="mso-next-textbox:#_x0000_s42425" inset="0,0,0,0">
              <w:txbxContent>
                <w:p w:rsidR="006C0DAC" w:rsidRDefault="006C0DAC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י''ב בכסלו התשנ'ה (5ו בנובמבר 994ו); הצעת החוק ודברי הסבר פורסמו בהצעות חוק</w:t>
                  </w:r>
                </w:p>
                <w:p w:rsidR="006C0DAC" w:rsidRDefault="006C0DAC">
                  <w:pPr>
                    <w:pStyle w:val="OCRStyle1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2297, מיום י-ב באב התשנ"ד (20 ביולי 1994), עמ' 575.</w:t>
                  </w:r>
                </w:p>
                <w:p w:rsidR="006C0DAC" w:rsidRPr="00787FD3" w:rsidRDefault="006C0DAC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י ס'ח התשכ"ח, עמ' 204: התשנ'ד, עמ' .276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26" o:spid="_x0000_s1027" type="#_x0000_t202" style="position:absolute;left:0;text-align:left;margin-left:76.6pt;margin-top:91.8pt;width:476pt;height:550.05pt;z-index:2;mso-position-horizontal-relative:page;mso-position-vertical-relative:page" stroked="f">
            <v:textbox style="mso-next-textbox:#_x0000_s42426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82"/>
                    <w:gridCol w:w="1423"/>
                    <w:gridCol w:w="1350"/>
                  </w:tblGrid>
                  <w:tr w:rsidR="006C0DAC" w:rsidRPr="00787FD3">
                    <w:trPr>
                      <w:jc w:val="right"/>
                    </w:trPr>
                    <w:tc>
                      <w:tcPr>
                        <w:tcW w:w="4220" w:type="pct"/>
                        <w:gridSpan w:val="2"/>
                      </w:tcPr>
                      <w:p w:rsidR="006C0DAC" w:rsidRPr="00787FD3" w:rsidRDefault="006C0D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לפני סעיף 1 לחוק רישוי עסקים, התשכ"ח-1968 1 (להלן - החוק העיקרי), יבוא:</w:t>
                        </w:r>
                      </w:p>
                    </w:tc>
                    <w:tc>
                      <w:tcPr>
                        <w:tcW w:w="780" w:type="pct"/>
                      </w:tcPr>
                      <w:p w:rsidR="006C0DAC" w:rsidRPr="00787FD3" w:rsidRDefault="006C0D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כותרת</w:t>
                        </w:r>
                      </w:p>
                    </w:tc>
                  </w:tr>
                  <w:tr w:rsidR="006C0DAC">
                    <w:trPr>
                      <w:jc w:val="right"/>
                    </w:trPr>
                    <w:tc>
                      <w:tcPr>
                        <w:tcW w:w="3398" w:type="pct"/>
                      </w:tcPr>
                      <w:p w:rsidR="006C0DAC" w:rsidRDefault="006C0D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א' - רישוי עסקים''.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6C0DAC" w:rsidRDefault="006C0DA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0" w:type="pct"/>
                      </w:tcPr>
                      <w:p w:rsidR="006C0DAC" w:rsidRDefault="006C0DA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C0DAC" w:rsidRPr="00787FD3">
                    <w:trPr>
                      <w:jc w:val="right"/>
                    </w:trPr>
                    <w:tc>
                      <w:tcPr>
                        <w:tcW w:w="4220" w:type="pct"/>
                        <w:gridSpan w:val="2"/>
                      </w:tcPr>
                      <w:p w:rsidR="006C0DAC" w:rsidRDefault="006C0D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29 לחוק העיקרי יבוא:</w:t>
                        </w:r>
                      </w:p>
                    </w:tc>
                    <w:tc>
                      <w:tcPr>
                        <w:tcW w:w="780" w:type="pct"/>
                      </w:tcPr>
                      <w:p w:rsidR="006C0DAC" w:rsidRPr="00787FD3" w:rsidRDefault="006C0D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פרק ב'</w:t>
                        </w:r>
                      </w:p>
                    </w:tc>
                  </w:tr>
                  <w:tr w:rsidR="006C0DAC">
                    <w:trPr>
                      <w:jc w:val="right"/>
                    </w:trPr>
                    <w:tc>
                      <w:tcPr>
                        <w:tcW w:w="3398" w:type="pct"/>
                      </w:tcPr>
                      <w:p w:rsidR="006C0DAC" w:rsidRDefault="006C0D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''פרק 3' - רישוי מפעלים בטחוניים</w:t>
                        </w:r>
                      </w:p>
                    </w:tc>
                    <w:tc>
                      <w:tcPr>
                        <w:tcW w:w="822" w:type="pct"/>
                      </w:tcPr>
                      <w:p w:rsidR="006C0DAC" w:rsidRDefault="006C0D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</w:t>
                        </w:r>
                      </w:p>
                    </w:tc>
                    <w:tc>
                      <w:tcPr>
                        <w:tcW w:w="780" w:type="pct"/>
                      </w:tcPr>
                      <w:p w:rsidR="006C0DAC" w:rsidRDefault="006C0DA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C0DAC">
                    <w:trPr>
                      <w:jc w:val="right"/>
                    </w:trPr>
                    <w:tc>
                      <w:tcPr>
                        <w:tcW w:w="3398" w:type="pct"/>
                      </w:tcPr>
                      <w:p w:rsidR="006C0DAC" w:rsidRDefault="006C0D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29א. (א) שר הבטחון רשאי, מטעמים שבבטחון המדינה, לקבוע כי עסק</w:t>
                        </w:r>
                      </w:p>
                      <w:p w:rsidR="006C0DAC" w:rsidRDefault="006C0D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טעון רישוי שבו עוסקים בפיתוח, בייצור, בעיבוד, באריזה, באחזקה או</w:t>
                        </w:r>
                      </w:p>
                      <w:p w:rsidR="006C0DAC" w:rsidRDefault="006C0D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באחסנה של חומרי נפץ, חומרי הדף או ציוד לחימה או בתיקון ציוד לחימה -</w:t>
                        </w:r>
                      </w:p>
                      <w:p w:rsidR="006C0DAC" w:rsidRDefault="006C0D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מפעל בטחוני.</w:t>
                        </w:r>
                      </w:p>
                      <w:p w:rsidR="006C0DAC" w:rsidRDefault="006C0D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(ו) קביעה לפי סעיף קטן (א) אינה טעונה פרסום ברשומות;</w:t>
                        </w:r>
                      </w:p>
                      <w:p w:rsidR="006C0DAC" w:rsidRDefault="006C0D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עליה תימסר לבעל העסק או למנהלו, לראש הרשות</w:t>
                        </w:r>
                      </w:p>
                      <w:p w:rsidR="006C0DAC" w:rsidRDefault="006C0D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שבתחומה נמצא העסק, כולו או מקצתו, ולמנהל היחידה</w:t>
                        </w:r>
                      </w:p>
                      <w:p w:rsidR="006C0DAC" w:rsidRDefault="006C0D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לרישוי מפעלים בטחוניים כאמור בסעיף 29ב.</w:t>
                        </w:r>
                      </w:p>
                      <w:p w:rsidR="006C0DAC" w:rsidRDefault="006C0D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מנהל היחידה לרישוי מפעלים בטחוניים יודיע על קביעה</w:t>
                        </w:r>
                      </w:p>
                      <w:p w:rsidR="006C0DAC" w:rsidRDefault="006C0D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(א) לחברי היחידה.</w:t>
                        </w:r>
                      </w:p>
                      <w:p w:rsidR="006C0DAC" w:rsidRDefault="006C0D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הודעה על קביעה לגבי עסק המצוי, כולו או מקצתו, מחוץ לתחום</w:t>
                        </w:r>
                      </w:p>
                      <w:p w:rsidR="006C0DAC" w:rsidRDefault="006C0D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מקומית, תימסר גם למי ששר הפנים הסמיכו לפי סעיף 5(א)(2).</w:t>
                        </w:r>
                      </w:p>
                      <w:p w:rsidR="006C0DAC" w:rsidRDefault="006C0D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קביעת עסק כמפעל בטחוני או ביטול קביעה כאמור ייכנסו לתוקף</w:t>
                        </w:r>
                      </w:p>
                      <w:p w:rsidR="006C0DAC" w:rsidRPr="00787FD3" w:rsidRDefault="006C0D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 ימים מיום שהודע עליהם לבעל העסק או למנהלו.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6C0DAC" w:rsidRDefault="006C0D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הכרזה על</w:t>
                        </w:r>
                      </w:p>
                      <w:p w:rsidR="006C0DAC" w:rsidRPr="00787FD3" w:rsidRDefault="006C0D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 בטחוני</w:t>
                        </w:r>
                      </w:p>
                    </w:tc>
                    <w:tc>
                      <w:tcPr>
                        <w:tcW w:w="780" w:type="pct"/>
                      </w:tcPr>
                      <w:p w:rsidR="006C0DAC" w:rsidRDefault="006C0DA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C0DAC">
                    <w:trPr>
                      <w:jc w:val="right"/>
                    </w:trPr>
                    <w:tc>
                      <w:tcPr>
                        <w:tcW w:w="3398" w:type="pct"/>
                      </w:tcPr>
                      <w:p w:rsidR="006C0DAC" w:rsidRDefault="006C0D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29ב. (א) לענין פרק זה תוקם יחידה לרישוי מפעלים בטחוניים (להלן -</w:t>
                        </w:r>
                      </w:p>
                      <w:p w:rsidR="006C0DAC" w:rsidRDefault="006C0D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היחידה), וזה הרכבה:</w:t>
                        </w:r>
                      </w:p>
                      <w:p w:rsidR="006C0DAC" w:rsidRDefault="006C0D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נציג שר הפנים - והוא יהיה מנהל היחידה;</w:t>
                        </w:r>
                      </w:p>
                      <w:p w:rsidR="006C0DAC" w:rsidRDefault="006C0D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נציג שר הבריאות;</w:t>
                        </w:r>
                      </w:p>
                      <w:p w:rsidR="006C0DAC" w:rsidRDefault="006C0D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נציג השר לאיכות הסביבה;</w:t>
                        </w:r>
                      </w:p>
                      <w:p w:rsidR="006C0DAC" w:rsidRDefault="006C0D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נציג שר המשטרה;</w:t>
                        </w:r>
                      </w:p>
                      <w:p w:rsidR="006C0DAC" w:rsidRDefault="006C0D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נציג שר העבודה והרווחה;</w:t>
                        </w:r>
                      </w:p>
                      <w:p w:rsidR="006C0DAC" w:rsidRDefault="006C0D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נציג שר הבטחון;</w:t>
                        </w:r>
                      </w:p>
                      <w:p w:rsidR="006C0DAC" w:rsidRDefault="006C0D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נציג הרשויות המקומיות שימנה שר הפנים מבין ראשי</w:t>
                        </w:r>
                      </w:p>
                      <w:p w:rsidR="006C0DAC" w:rsidRDefault="006C0D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 המקומיות.</w:t>
                        </w:r>
                      </w:p>
                      <w:p w:rsidR="006C0DAC" w:rsidRDefault="006C0D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מבלי לגרוע מהוראות סעיפים 6, 7 ו-7א, רשאי מנהל היחידה</w:t>
                        </w:r>
                      </w:p>
                      <w:p w:rsidR="006C0DAC" w:rsidRDefault="006C0D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להיוועץ ביחידה בכל ענין הנוגע למילוי תפקידו.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6C0DAC" w:rsidRDefault="006C0D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היחידה לרישוי</w:t>
                        </w:r>
                      </w:p>
                      <w:p w:rsidR="006C0DAC" w:rsidRPr="00787FD3" w:rsidRDefault="006C0D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מפעלים בטחוניים</w:t>
                        </w:r>
                      </w:p>
                    </w:tc>
                    <w:tc>
                      <w:tcPr>
                        <w:tcW w:w="780" w:type="pct"/>
                      </w:tcPr>
                      <w:p w:rsidR="006C0DAC" w:rsidRDefault="006C0DA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C0DAC">
                    <w:trPr>
                      <w:jc w:val="right"/>
                    </w:trPr>
                    <w:tc>
                      <w:tcPr>
                        <w:tcW w:w="3398" w:type="pct"/>
                      </w:tcPr>
                      <w:p w:rsidR="006C0DAC" w:rsidRDefault="006C0D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29ג. על אף האמורי בסעיף 5, מנהל היחידה הוא רשות הרישוי למפעלים</w:t>
                        </w:r>
                      </w:p>
                      <w:p w:rsidR="006C0DAC" w:rsidRDefault="006C0D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בטחוניים.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6C0DAC" w:rsidRDefault="006C0D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הרישוי</w:t>
                        </w:r>
                      </w:p>
                      <w:p w:rsidR="006C0DAC" w:rsidRPr="00787FD3" w:rsidRDefault="006C0D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למפעלים בטחוניים</w:t>
                        </w:r>
                      </w:p>
                    </w:tc>
                    <w:tc>
                      <w:tcPr>
                        <w:tcW w:w="780" w:type="pct"/>
                      </w:tcPr>
                      <w:p w:rsidR="006C0DAC" w:rsidRDefault="006C0DA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6C0DAC" w:rsidRDefault="006C0DA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427" o:spid="_x0000_s1028" type="#_x0000_t202" style="position:absolute;left:0;text-align:left;margin-left:82.55pt;margin-top:67.65pt;width:386.5pt;height:23.15pt;z-index:1;mso-position-horizontal-relative:page;mso-position-vertical-relative:page" stroked="f">
            <v:textbox style="mso-next-textbox:#_x0000_s42427" inset="0,0,0,0">
              <w:txbxContent>
                <w:p w:rsidR="006C0DAC" w:rsidRPr="00787FD3" w:rsidRDefault="006C0DAC">
                  <w:pPr>
                    <w:pStyle w:val="OCRStyle1"/>
                    <w:ind w:left="23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רישוי עסקים (תיקון מס' 11) (מפעלים בטחוניים), התשנ"ה-1994 *</w:t>
                  </w:r>
                </w:p>
              </w:txbxContent>
            </v:textbox>
            <w10:wrap anchorx="page" anchory="page"/>
          </v:shape>
        </w:pict>
      </w:r>
    </w:p>
    <w:p w:rsidR="004F3B05" w:rsidRDefault="004F3B05">
      <w:pPr>
        <w:rPr>
          <w:rtl/>
        </w:rPr>
      </w:pPr>
      <w:r>
        <w:rPr>
          <w:rtl/>
        </w:rPr>
        <w:br w:type="page"/>
      </w:r>
    </w:p>
    <w:p w:rsidR="004F3B05" w:rsidRDefault="00000000">
      <w:pPr>
        <w:rPr>
          <w:rtl/>
        </w:rPr>
      </w:pPr>
      <w:r>
        <w:pict>
          <v:shape id="_x0000_s4242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2428" inset="0,0,0,0">
              <w:txbxContent>
                <w:p w:rsidR="006C0DAC" w:rsidRDefault="006C0DAC">
                  <w:r>
                    <w:rPr>
                      <w:rtl/>
                    </w:rPr>
                    <w:t>17                                          ספר החוקים 1488                 כ"ב בכסליו התשנ"ה 25.11.1994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29" o:spid="_x0000_s1030" type="#_x0000_t202" style="position:absolute;left:0;text-align:left;margin-left:334.1pt;margin-top:715.6pt;width:218.6pt;height:30.9pt;z-index:6;mso-position-horizontal-relative:page;mso-position-vertical-relative:page" stroked="f">
            <v:textbox style="mso-next-textbox:#_x0000_s42429" inset="0,0,0,0">
              <w:txbxContent>
                <w:p w:rsidR="006C0DAC" w:rsidRDefault="006C0DA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2430" o:spid="_x0000_s1031" type="#_x0000_t202" style="position:absolute;left:0;text-align:left;margin-left:147.35pt;margin-top:57.1pt;width:402.75pt;height:653.4pt;z-index:5;mso-position-horizontal-relative:page;mso-position-vertical-relative:page" stroked="f">
            <v:textbox style="mso-next-textbox:#_x0000_s42430" inset="0,0,0,0">
              <w:txbxContent>
                <w:tbl>
                  <w:tblPr>
                    <w:tblW w:w="44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26"/>
                    <w:gridCol w:w="1296"/>
                  </w:tblGrid>
                  <w:tr w:rsidR="006C0DAC" w:rsidRPr="004F3B05">
                    <w:trPr>
                      <w:jc w:val="right"/>
                    </w:trPr>
                    <w:tc>
                      <w:tcPr>
                        <w:tcW w:w="4115" w:type="pct"/>
                      </w:tcPr>
                      <w:p w:rsidR="006C0DAC" w:rsidRDefault="006C0D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29ד. לענין מפעל בטחוני -</w:t>
                        </w:r>
                      </w:p>
                      <w:p w:rsidR="006C0DAC" w:rsidRDefault="006C0D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יראו נציג שר ביחידה כמי שהוסמך באופן בלעדי על-ידי אותו שר</w:t>
                        </w:r>
                      </w:p>
                      <w:p w:rsidR="006C0DAC" w:rsidRDefault="006C0D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סעיפים 6, 7 ו-7א; נבצר מנציגי שר כאמור למלא את תפקידיו,</w:t>
                        </w:r>
                      </w:p>
                      <w:p w:rsidR="006C0DAC" w:rsidRDefault="006C0D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השר למנות אחר כנציגו ביחידה;</w:t>
                        </w:r>
                      </w:p>
                      <w:p w:rsidR="006C0DAC" w:rsidRDefault="006C0D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יהיו לנציג שר הבטחון ביחידה סמכויות של מי ששר הסמיכו לענין</w:t>
                        </w:r>
                      </w:p>
                      <w:p w:rsidR="006C0DAC" w:rsidRDefault="006C0D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6, 7 ו-7א, הכל למטרה של שמירה על בטחון המדינה.</w:t>
                        </w:r>
                      </w:p>
                    </w:tc>
                    <w:tc>
                      <w:tcPr>
                        <w:tcW w:w="885" w:type="pct"/>
                      </w:tcPr>
                      <w:p w:rsidR="006C0DAC" w:rsidRDefault="006C0D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נציגי</w:t>
                        </w:r>
                      </w:p>
                      <w:p w:rsidR="006C0DAC" w:rsidRPr="004F3B05" w:rsidRDefault="006C0D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השרים ביחידה</w:t>
                        </w:r>
                      </w:p>
                    </w:tc>
                  </w:tr>
                  <w:tr w:rsidR="006C0DAC" w:rsidRPr="004F3B05">
                    <w:trPr>
                      <w:jc w:val="right"/>
                    </w:trPr>
                    <w:tc>
                      <w:tcPr>
                        <w:tcW w:w="4115" w:type="pct"/>
                      </w:tcPr>
                      <w:p w:rsidR="006C0DAC" w:rsidRDefault="006C0D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29ה. לא יינתן אישור מוקדם לפי סעיף 6 ולא יינתן רשיון למפעל בטחוני,</w:t>
                        </w:r>
                      </w:p>
                      <w:p w:rsidR="006C0DAC" w:rsidRDefault="006C0D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כן ניתנה לראש הרשות המקומית שבתחומה נמצא המפעל הבטחוני,</w:t>
                        </w:r>
                      </w:p>
                      <w:p w:rsidR="006C0DAC" w:rsidRDefault="006C0D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כולו או מקצתו, או לנציגו, הזדמנות להשמיע דברם בפני היחידה</w:t>
                        </w:r>
                      </w:p>
                      <w:p w:rsidR="006C0DAC" w:rsidRDefault="006C0D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במליאתה.</w:t>
                        </w:r>
                      </w:p>
                    </w:tc>
                    <w:tc>
                      <w:tcPr>
                        <w:tcW w:w="885" w:type="pct"/>
                      </w:tcPr>
                      <w:p w:rsidR="006C0DAC" w:rsidRDefault="006C0D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שמיעת ראש</w:t>
                        </w:r>
                      </w:p>
                      <w:p w:rsidR="006C0DAC" w:rsidRPr="004F3B05" w:rsidRDefault="006C0D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המקומית</w:t>
                        </w:r>
                      </w:p>
                    </w:tc>
                  </w:tr>
                  <w:tr w:rsidR="006C0DAC" w:rsidRPr="004F3B05">
                    <w:trPr>
                      <w:jc w:val="right"/>
                    </w:trPr>
                    <w:tc>
                      <w:tcPr>
                        <w:tcW w:w="4115" w:type="pct"/>
                      </w:tcPr>
                      <w:p w:rsidR="006C0DAC" w:rsidRDefault="006C0D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29ו. (א) רשיון שניתן לעסק שהיה בתוקף ערב כניסתה של הקביעה לפי</w:t>
                        </w:r>
                      </w:p>
                      <w:p w:rsidR="006C0DAC" w:rsidRDefault="006C0D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29א(א) לתוקף, יעמוד בתוקפו ויראוהו כאילו ניתן בידי מנהל היחידה.</w:t>
                        </w:r>
                      </w:p>
                      <w:p w:rsidR="006C0DAC" w:rsidRDefault="006C0D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רשיון שניתן למפעל בטחוני, שהיה בתוקף ערב כניסתו לתוקף של</w:t>
                        </w:r>
                      </w:p>
                      <w:p w:rsidR="006C0DAC" w:rsidRDefault="006C0D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הקביעה לפי סעיף 29א(א), יעמוד בתוקפו ויראוהו כאילו ניתן בירי</w:t>
                        </w:r>
                      </w:p>
                      <w:p w:rsidR="006C0DAC" w:rsidRDefault="006C0D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רישוי לפי סעיף 5.</w:t>
                        </w:r>
                      </w:p>
                    </w:tc>
                    <w:tc>
                      <w:tcPr>
                        <w:tcW w:w="885" w:type="pct"/>
                      </w:tcPr>
                      <w:p w:rsidR="006C0DAC" w:rsidRPr="004F3B05" w:rsidRDefault="006C0D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 רשיון</w:t>
                        </w:r>
                      </w:p>
                    </w:tc>
                  </w:tr>
                  <w:tr w:rsidR="006C0DAC" w:rsidRPr="004F3B05">
                    <w:trPr>
                      <w:jc w:val="right"/>
                    </w:trPr>
                    <w:tc>
                      <w:tcPr>
                        <w:tcW w:w="4115" w:type="pct"/>
                      </w:tcPr>
                      <w:p w:rsidR="006C0DAC" w:rsidRDefault="006C0D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29ז. על אף האמור בסעיף 14, הסמכות ליתן התראה לפי חוק זה תהיה בידי</w:t>
                        </w:r>
                      </w:p>
                      <w:p w:rsidR="006C0DAC" w:rsidRDefault="006C0D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היחידה; התראה כאמור יכול שתינתן בין ביוזמת מנהל היחידה ובין</w:t>
                        </w:r>
                      </w:p>
                      <w:p w:rsidR="006C0DAC" w:rsidRDefault="006C0D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על-פי דרישת נציג שר ביחידה.</w:t>
                        </w:r>
                      </w:p>
                    </w:tc>
                    <w:tc>
                      <w:tcPr>
                        <w:tcW w:w="885" w:type="pct"/>
                      </w:tcPr>
                      <w:p w:rsidR="006C0DAC" w:rsidRPr="004F3B05" w:rsidRDefault="006C0D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התראה</w:t>
                        </w:r>
                      </w:p>
                    </w:tc>
                  </w:tr>
                  <w:tr w:rsidR="006C0DAC" w:rsidRPr="004F3B05">
                    <w:trPr>
                      <w:jc w:val="right"/>
                    </w:trPr>
                    <w:tc>
                      <w:tcPr>
                        <w:tcW w:w="4115" w:type="pct"/>
                      </w:tcPr>
                      <w:p w:rsidR="006C0DAC" w:rsidRDefault="006C0D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29ח. (א) על אף האמור בסעיף 20, הסמכות ליתן צו הפסקה מינהלי תהיה</w:t>
                        </w:r>
                      </w:p>
                      <w:p w:rsidR="006C0DAC" w:rsidRDefault="006C0D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מנהל היחידה בלבד, בין ביוזמתו ובין על-פי בקשת נציג של שר</w:t>
                        </w:r>
                      </w:p>
                      <w:p w:rsidR="006C0DAC" w:rsidRDefault="006C0D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ביחידה.</w:t>
                        </w:r>
                      </w:p>
                      <w:p w:rsidR="006C0DAC" w:rsidRDefault="006C0D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סירב מנהל היחידה לבקשה של נציג שר ביחידה ליתן צו הפסקה</w:t>
                        </w:r>
                      </w:p>
                      <w:p w:rsidR="006C0DAC" w:rsidRDefault="006C0D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מינהלי, יביא מנהל היחידה את הענין לפני שר הפנים, אשר יכריע בדבר</w:t>
                        </w:r>
                      </w:p>
                      <w:p w:rsidR="006C0DAC" w:rsidRDefault="006C0D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התייעצות עם שר הבטחון ועם השר שנציגו ביקש את הוצאת הצו-,</w:t>
                        </w:r>
                      </w:p>
                      <w:p w:rsidR="006C0DAC" w:rsidRDefault="006C0D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היחידה יפעל על פי החלטת שר הפנים.</w:t>
                        </w:r>
                      </w:p>
                    </w:tc>
                    <w:tc>
                      <w:tcPr>
                        <w:tcW w:w="885" w:type="pct"/>
                      </w:tcPr>
                      <w:p w:rsidR="006C0DAC" w:rsidRDefault="006C0D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הפסקה</w:t>
                        </w:r>
                      </w:p>
                      <w:p w:rsidR="006C0DAC" w:rsidRPr="004F3B05" w:rsidRDefault="006C0D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מינהלי</w:t>
                        </w:r>
                      </w:p>
                    </w:tc>
                  </w:tr>
                  <w:tr w:rsidR="006C0DAC" w:rsidRPr="004F3B05">
                    <w:trPr>
                      <w:jc w:val="right"/>
                    </w:trPr>
                    <w:tc>
                      <w:tcPr>
                        <w:tcW w:w="4115" w:type="pct"/>
                      </w:tcPr>
                      <w:p w:rsidR="006C0DAC" w:rsidRDefault="006C0D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29ט. (א) על אף האמור בסעיף 28, מנהל היחידה או מי שהסמיך לענין זה,</w:t>
                        </w:r>
                      </w:p>
                      <w:p w:rsidR="006C0DAC" w:rsidRDefault="006C0D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חברי היחידה, והם בלבד, רשאים להיכנס למפעל בטחוני, כדי לקבוע</w:t>
                        </w:r>
                      </w:p>
                      <w:p w:rsidR="006C0DAC" w:rsidRDefault="006C0D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למתן רשיון לאותו מפעל או כרי לבדוק אם מתקיימים בו הוראות חוק</w:t>
                        </w:r>
                      </w:p>
                      <w:p w:rsidR="006C0DAC" w:rsidRDefault="006C0D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והתקנות על פיו, לרבות תנאי רשיון שניתן על פיו.</w:t>
                        </w:r>
                      </w:p>
                      <w:p w:rsidR="006C0DAC" w:rsidRDefault="006C0D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חברי היחידה רשאים להציע למנהל היחידה אנשים שהוא יסמיך</w:t>
                        </w:r>
                      </w:p>
                      <w:p w:rsidR="006C0DAC" w:rsidRDefault="006C0D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קטן (א).</w:t>
                        </w:r>
                      </w:p>
                    </w:tc>
                    <w:tc>
                      <w:tcPr>
                        <w:tcW w:w="885" w:type="pct"/>
                      </w:tcPr>
                      <w:p w:rsidR="006C0DAC" w:rsidRPr="004F3B05" w:rsidRDefault="006C0D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כניסה</w:t>
                        </w:r>
                      </w:p>
                    </w:tc>
                  </w:tr>
                  <w:tr w:rsidR="006C0DAC" w:rsidRPr="004F3B05">
                    <w:trPr>
                      <w:jc w:val="right"/>
                    </w:trPr>
                    <w:tc>
                      <w:tcPr>
                        <w:tcW w:w="4115" w:type="pct"/>
                      </w:tcPr>
                      <w:p w:rsidR="006C0DAC" w:rsidRDefault="006C0D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29י. (א) שר הפנים רשאי, בהתייעצות עם שר הבטחון, לקבוע כללים</w:t>
                        </w:r>
                      </w:p>
                      <w:p w:rsidR="006C0DAC" w:rsidRDefault="006C0D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-</w:t>
                        </w:r>
                      </w:p>
                      <w:p w:rsidR="006C0DAC" w:rsidRDefault="006C0D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סדרי העבודה של היחידה המתייחסים לאבטחת רשומות</w:t>
                        </w:r>
                      </w:p>
                      <w:p w:rsidR="006C0DAC" w:rsidRDefault="006C0D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ומידע;</w:t>
                        </w:r>
                      </w:p>
                      <w:p w:rsidR="006C0DAC" w:rsidRDefault="006C0D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הדרכים לקביעת התאמתם הבטחונית של חברי היחידה ושל</w:t>
                        </w:r>
                      </w:p>
                      <w:p w:rsidR="006C0DAC" w:rsidRDefault="006C0D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הפועלים במסגרתה או מטעמה;</w:t>
                        </w:r>
                      </w:p>
                      <w:p w:rsidR="006C0DAC" w:rsidRDefault="006C0D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סדרי הכניסה למפעל בטחוני.</w:t>
                        </w:r>
                      </w:p>
                      <w:p w:rsidR="006C0DAC" w:rsidRPr="004F3B05" w:rsidRDefault="006C0D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כללים לפי סעיף קטן (א) אינם טעונים פרסום ברשומות.</w:t>
                        </w:r>
                      </w:p>
                    </w:tc>
                    <w:tc>
                      <w:tcPr>
                        <w:tcW w:w="885" w:type="pct"/>
                      </w:tcPr>
                      <w:p w:rsidR="006C0DAC" w:rsidRDefault="006C0D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עבודת</w:t>
                        </w:r>
                      </w:p>
                      <w:p w:rsidR="006C0DAC" w:rsidRPr="004F3B05" w:rsidRDefault="006C0D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היחידה</w:t>
                        </w:r>
                      </w:p>
                    </w:tc>
                  </w:tr>
                </w:tbl>
                <w:p w:rsidR="006C0DAC" w:rsidRDefault="006C0DA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6C0DAC" w:rsidRDefault="006C0DAC">
      <w:pPr>
        <w:rPr>
          <w:rtl/>
        </w:rPr>
      </w:pPr>
      <w:r>
        <w:rPr>
          <w:rtl/>
        </w:rPr>
        <w:br w:type="page"/>
      </w:r>
    </w:p>
    <w:p w:rsidR="006C0DAC" w:rsidRDefault="00000000">
      <w:pPr>
        <w:rPr>
          <w:rtl/>
        </w:rPr>
      </w:pPr>
      <w:r>
        <w:pict>
          <v:shape id="_x0000_s42431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2431" inset="0,0,0,0">
              <w:txbxContent>
                <w:p w:rsidR="006C0DAC" w:rsidRDefault="006C0DAC">
                  <w:r>
                    <w:rPr>
                      <w:rtl/>
                    </w:rPr>
                    <w:t>18                                          ספר החוקים 1488                 כ"ב בכסליו התשנ"ה 25.11.1994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32" o:spid="_x0000_s1033" type="#_x0000_t202" style="position:absolute;left:0;text-align:left;margin-left:193.35pt;margin-top:193.4pt;width:93.85pt;height:28.1pt;z-index:12;mso-position-horizontal-relative:page;mso-position-vertical-relative:page" stroked="f">
            <v:textbox style="mso-next-textbox:#_x0000_s42432" inset="0,0,0,0">
              <w:txbxContent>
                <w:p w:rsidR="006C0DAC" w:rsidRDefault="006C0DAC">
                  <w:pPr>
                    <w:pStyle w:val="OCRStyle3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6C0DAC" w:rsidRPr="006C0DAC" w:rsidRDefault="006C0DAC">
                  <w:pPr>
                    <w:pStyle w:val="OCRStyle3"/>
                    <w:ind w:left="19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33" o:spid="_x0000_s1034" type="#_x0000_t202" style="position:absolute;left:0;text-align:left;margin-left:98.7pt;margin-top:156.95pt;width:86.9pt;height:32.65pt;z-index:11;mso-position-horizontal-relative:page;mso-position-vertical-relative:page" stroked="f">
            <v:textbox style="mso-next-textbox:#_x0000_s42433" inset="0,0,0,0">
              <w:txbxContent>
                <w:p w:rsidR="006C0DAC" w:rsidRDefault="006C0DAC">
                  <w:pPr>
                    <w:pStyle w:val="OCRStyle3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6C0DAC" w:rsidRDefault="006C0DAC">
                  <w:pPr>
                    <w:pStyle w:val="OCRStyle3"/>
                    <w:ind w:left="15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34" o:spid="_x0000_s1035" type="#_x0000_t202" style="position:absolute;left:0;text-align:left;margin-left:284.65pt;margin-top:157.95pt;width:82.55pt;height:35.25pt;z-index:10;mso-position-horizontal-relative:page;mso-position-vertical-relative:page" stroked="f">
            <v:textbox style="mso-next-textbox:#_x0000_s42434" inset="0,0,0,0">
              <w:txbxContent>
                <w:p w:rsidR="006C0DAC" w:rsidRDefault="006C0DAC">
                  <w:pPr>
                    <w:pStyle w:val="OCRStyle3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6C0DAC" w:rsidRDefault="006C0DAC">
                  <w:pPr>
                    <w:pStyle w:val="OCRStyle3"/>
                    <w:ind w:left="259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35" o:spid="_x0000_s1036" type="#_x0000_t202" style="position:absolute;left:0;text-align:left;margin-left:388pt;margin-top:188.85pt;width:79.2pt;height:31.1pt;z-index:9;mso-position-horizontal-relative:page;mso-position-vertical-relative:page" stroked="f">
            <v:textbox style="mso-next-textbox:#_x0000_s42435" inset="0,0,0,0">
              <w:txbxContent>
                <w:p w:rsidR="006C0DAC" w:rsidRDefault="006C0DAC">
                  <w:pPr>
                    <w:pStyle w:val="OCRStyle3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6C0DAC" w:rsidRDefault="006C0DAC">
                  <w:pPr>
                    <w:pStyle w:val="OCRStyle3"/>
                    <w:ind w:left="27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36" o:spid="_x0000_s1037" type="#_x0000_t202" style="position:absolute;left:0;text-align:left;margin-left:91pt;margin-top:71.8pt;width:467.5pt;height:76.65pt;z-index:8;mso-position-horizontal-relative:page;mso-position-vertical-relative:page" stroked="f">
            <v:textbox style="mso-next-textbox:#_x0000_s4243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01"/>
                    <w:gridCol w:w="1375"/>
                    <w:gridCol w:w="1324"/>
                  </w:tblGrid>
                  <w:tr w:rsidR="006C0DAC">
                    <w:trPr>
                      <w:jc w:val="right"/>
                    </w:trPr>
                    <w:tc>
                      <w:tcPr>
                        <w:tcW w:w="3412" w:type="pct"/>
                      </w:tcPr>
                      <w:p w:rsidR="006C0DAC" w:rsidRDefault="006C0D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29יא. לא יותקנו תקנות לפי חוק זה לגבי מפעלים בטחוניים אלא לאחר</w:t>
                        </w:r>
                      </w:p>
                      <w:p w:rsidR="006C0DAC" w:rsidRDefault="006C0D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התייעצות עם שר הבטחון.''</w:t>
                        </w:r>
                      </w:p>
                    </w:tc>
                    <w:tc>
                      <w:tcPr>
                        <w:tcW w:w="809" w:type="pct"/>
                      </w:tcPr>
                      <w:p w:rsidR="006C0DAC" w:rsidRDefault="006C0D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לגבי</w:t>
                        </w:r>
                      </w:p>
                      <w:p w:rsidR="006C0DAC" w:rsidRPr="006C0DAC" w:rsidRDefault="006C0D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מפעלים בטחוניים</w:t>
                        </w:r>
                      </w:p>
                    </w:tc>
                    <w:tc>
                      <w:tcPr>
                        <w:tcW w:w="779" w:type="pct"/>
                      </w:tcPr>
                      <w:p w:rsidR="006C0DAC" w:rsidRDefault="006C0DA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6C0DAC" w:rsidRPr="006C0DAC">
                    <w:trPr>
                      <w:jc w:val="right"/>
                    </w:trPr>
                    <w:tc>
                      <w:tcPr>
                        <w:tcW w:w="4221" w:type="pct"/>
                        <w:gridSpan w:val="2"/>
                      </w:tcPr>
                      <w:p w:rsidR="006C0DAC" w:rsidRDefault="006C0D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לפני סעיף 30 לחוק העיקרי יבוא:</w:t>
                        </w:r>
                      </w:p>
                      <w:p w:rsidR="006C0DAC" w:rsidRPr="006C0DAC" w:rsidRDefault="006C0D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''פרק ג' - הוראות שונות''.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6C0DAC" w:rsidRPr="006C0DAC" w:rsidRDefault="006C0D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כותרת</w:t>
                        </w:r>
                      </w:p>
                    </w:tc>
                  </w:tr>
                </w:tbl>
                <w:p w:rsidR="006C0DAC" w:rsidRDefault="006C0DA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787FD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87FD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24E040F-05CB-4EB9-A5EB-2A79FBCFB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87FD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F3B05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6C0DA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2008-04-07T09:38:00Z</dcterms:created>
  <dcterms:modified xsi:type="dcterms:W3CDTF">2008-04-07T09:39:00Z</dcterms:modified>
</cp:coreProperties>
</file>