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E77B5" w:rsidRDefault="00BE77B5">
      <w:pPr>
        <w:rPr>
          <w:rtl/>
        </w:rPr>
      </w:pPr>
    </w:p>
    <w:p w:rsidR="00BE77B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638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638" inset="0,0,0,0">
              <w:txbxContent>
                <w:p w:rsidR="00BE77B5" w:rsidRDefault="00BE77B5">
                  <w:r>
                    <w:rPr>
                      <w:rtl/>
                    </w:rPr>
                    <w:t>4                                           ספר החוקים 1484                  ד' בכסליו התשנ"ה 07.11.1994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39" o:spid="_x0000_s1026" type="#_x0000_t202" style="position:absolute;left:0;text-align:left;margin-left:76pt;margin-top:717.45pt;width:226.3pt;height:42.95pt;z-index:8;mso-position-horizontal-relative:page;mso-position-vertical-relative:page" stroked="f">
            <v:textbox style="mso-next-textbox:#_x0000_s42639" inset="0,0,0,0">
              <w:txbxContent>
                <w:p w:rsidR="00BE77B5" w:rsidRDefault="00BE77B5">
                  <w:pPr>
                    <w:pStyle w:val="OCRStyle1"/>
                    <w:rPr>
                      <w:rtl/>
                    </w:rPr>
                  </w:pPr>
                </w:p>
                <w:p w:rsidR="00BE77B5" w:rsidRDefault="00BE77B5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40" o:spid="_x0000_s1027" type="#_x0000_t202" style="position:absolute;left:0;text-align:left;margin-left:86.3pt;margin-top:588.15pt;width:384.7pt;height:50.1pt;z-index:7;mso-position-horizontal-relative:page;mso-position-vertical-relative:page" stroked="f">
            <v:textbox style="mso-next-textbox:#_x0000_s42640" inset="0,0,0,0">
              <w:txbxContent>
                <w:p w:rsidR="00BE77B5" w:rsidRDefault="00BE77B5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כ*ט בחשון התשנ'ה (3 בנובמבר 1994); הצעת החוק ודברי הסבר פורסמו בהצעות חוק 2314,</w:t>
                  </w:r>
                </w:p>
                <w:p w:rsidR="00BE77B5" w:rsidRDefault="00BE77B5">
                  <w:pPr>
                    <w:pStyle w:val="OCRStyle1"/>
                    <w:ind w:left="432"/>
                    <w:rPr>
                      <w:rtl/>
                    </w:rPr>
                  </w:pPr>
                  <w:r>
                    <w:rPr>
                      <w:rtl/>
                    </w:rPr>
                    <w:t>מיום י-ט בחשון התשנ'ה (24 באוקטובר 1994), עמ' 76.</w:t>
                  </w:r>
                </w:p>
                <w:p w:rsidR="00BE77B5" w:rsidRDefault="00BE77B5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1 ס"ח התשנ"ד, עמ' 96.</w:t>
                  </w:r>
                </w:p>
                <w:p w:rsidR="00BE77B5" w:rsidRPr="00BE77B5" w:rsidRDefault="00BE77B5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2 ס"ח התשנ'א, עמ' 72; התשנ-ד, עמ' 252.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41" o:spid="_x0000_s1028" type="#_x0000_t202" style="position:absolute;left:0;text-align:left;margin-left:213.6pt;margin-top:553.1pt;width:88.7pt;height:29.9pt;z-index:6;mso-position-horizontal-relative:page;mso-position-vertical-relative:page" stroked="f">
            <v:textbox style="mso-next-textbox:#_x0000_s42641" inset="0,0,0,0">
              <w:txbxContent>
                <w:p w:rsidR="00BE77B5" w:rsidRDefault="00BE77B5">
                  <w:pPr>
                    <w:pStyle w:val="OCRStyle1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BE77B5" w:rsidRPr="00BE77B5" w:rsidRDefault="00BE77B5">
                  <w:pPr>
                    <w:pStyle w:val="OCRStyle1"/>
                    <w:ind w:left="184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42" o:spid="_x0000_s1029" type="#_x0000_t202" style="position:absolute;left:0;text-align:left;margin-left:87.65pt;margin-top:518.45pt;width:121.35pt;height:34.45pt;z-index:5;mso-position-horizontal-relative:page;mso-position-vertical-relative:page" stroked="f">
            <v:textbox style="mso-next-textbox:#_x0000_s42642" inset="0,0,0,0">
              <w:txbxContent>
                <w:p w:rsidR="00BE77B5" w:rsidRDefault="00BE77B5">
                  <w:pPr>
                    <w:pStyle w:val="OCRStyle1"/>
                    <w:ind w:left="58"/>
                    <w:rPr>
                      <w:rtl/>
                    </w:rPr>
                  </w:pPr>
                  <w:r>
                    <w:rPr>
                      <w:rtl/>
                    </w:rPr>
                    <w:t>אברהם (בייגה) שוחט</w:t>
                  </w:r>
                </w:p>
                <w:p w:rsidR="00BE77B5" w:rsidRDefault="00BE77B5">
                  <w:pPr>
                    <w:pStyle w:val="OCRStyle1"/>
                    <w:ind w:left="69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43" o:spid="_x0000_s1030" type="#_x0000_t202" style="position:absolute;left:0;text-align:left;margin-left:301.5pt;margin-top:521.05pt;width:73.05pt;height:31.9pt;z-index:4;mso-position-horizontal-relative:page;mso-position-vertical-relative:page" stroked="f">
            <v:textbox style="mso-next-textbox:#_x0000_s42643" inset="0,0,0,0">
              <w:txbxContent>
                <w:p w:rsidR="00BE77B5" w:rsidRDefault="00BE77B5">
                  <w:pPr>
                    <w:pStyle w:val="OCRStyle1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BE77B5" w:rsidRDefault="00BE77B5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44" o:spid="_x0000_s1031" type="#_x0000_t202" style="position:absolute;left:0;text-align:left;margin-left:380.7pt;margin-top:549.55pt;width:79.2pt;height:30.1pt;z-index:3;mso-position-horizontal-relative:page;mso-position-vertical-relative:page" stroked="f">
            <v:textbox style="mso-next-textbox:#_x0000_s42644" inset="0,0,0,0">
              <w:txbxContent>
                <w:p w:rsidR="00BE77B5" w:rsidRDefault="00BE77B5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BE77B5" w:rsidRDefault="00BE77B5">
                  <w:pPr>
                    <w:pStyle w:val="OCRStyle1"/>
                    <w:ind w:left="22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645" o:spid="_x0000_s1032" type="#_x0000_t202" style="position:absolute;left:0;text-align:left;margin-left:77.55pt;margin-top:369.55pt;width:464.9pt;height:142.15pt;z-index:2;mso-position-horizontal-relative:page;mso-position-vertical-relative:page" stroked="f">
            <v:textbox style="mso-next-textbox:#_x0000_s4264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393"/>
                  </w:tblGrid>
                  <w:tr w:rsidR="00BE77B5" w:rsidRPr="00BE77B5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BE77B5" w:rsidRDefault="00BE77B5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4 לחוק קרנות פנסיה (קרנות חדשות) (הוראת שעה), התשנ'ד-1994 1(להלן -</w:t>
                        </w:r>
                      </w:p>
                      <w:p w:rsid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השעה), במקום "עד יום כ''ו בחשון התשנ'ה (31 באוקטובר 1994)" יבוא "עד יום כ''ב באדר</w:t>
                        </w:r>
                      </w:p>
                      <w:p w:rsidR="00BE77B5" w:rsidRP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ב' התשנ'ה (31 במרס 1995)'.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E77B5" w:rsidRP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</w:t>
                        </w:r>
                      </w:p>
                    </w:tc>
                  </w:tr>
                  <w:tr w:rsidR="00BE77B5" w:rsidRPr="00BE77B5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12 לחוק הסדרים במשק המדינה (היטלים וארנונה), התשנ'א-1991  2(להלן - חוק</w:t>
                        </w:r>
                      </w:p>
                      <w:p w:rsid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ההסדרים), במקום 'כ''ו בחשון התשנ''ה (31 באוקטובר 1994)" יבוא "כ"ח בטבת התשנ'ה (31</w:t>
                        </w:r>
                      </w:p>
                      <w:p w:rsidR="00BE77B5" w:rsidRP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בדצמבר 1994)'.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הסדרים במשק</w:t>
                        </w:r>
                      </w:p>
                      <w:p w:rsid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המדינה (היטלים</w:t>
                        </w:r>
                      </w:p>
                      <w:p w:rsidR="00BE77B5" w:rsidRP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וארנונה) - מס' 11</w:t>
                        </w:r>
                      </w:p>
                    </w:tc>
                  </w:tr>
                  <w:tr w:rsidR="00BE77B5" w:rsidRPr="00BE77B5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כ"ו בחשון התשנ'ה (31 באוקטובר 1994); ניתן בזה קיום תוקף</w:t>
                        </w:r>
                      </w:p>
                      <w:p w:rsidR="00BE77B5" w:rsidRP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להוראת השעה ולחוק ההסדרים בנוסח כמתוקן בחוק זה, החל ביום התחילה.</w:t>
                        </w:r>
                      </w:p>
                    </w:tc>
                    <w:tc>
                      <w:tcPr>
                        <w:tcW w:w="824" w:type="pct"/>
                      </w:tcPr>
                      <w:p w:rsid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 וקיום</w:t>
                        </w:r>
                      </w:p>
                      <w:p w:rsidR="00BE77B5" w:rsidRPr="00BE77B5" w:rsidRDefault="00BE77B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</w:t>
                        </w:r>
                      </w:p>
                    </w:tc>
                  </w:tr>
                </w:tbl>
                <w:p w:rsidR="00BE77B5" w:rsidRDefault="00BE77B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646" o:spid="_x0000_s1033" type="#_x0000_t202" style="position:absolute;left:0;text-align:left;margin-left:81.15pt;margin-top:348.95pt;width:385.7pt;height:17.25pt;z-index:1;mso-position-horizontal-relative:page;mso-position-vertical-relative:page" stroked="f">
            <v:textbox style="mso-next-textbox:#_x0000_s42646" inset="0,0,0,0">
              <w:txbxContent>
                <w:p w:rsidR="00BE77B5" w:rsidRPr="00BE77B5" w:rsidRDefault="00BE77B5">
                  <w:pPr>
                    <w:pStyle w:val="OCRStyle1"/>
                    <w:ind w:left="20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קרנות פנסיה (קרנות חדשות) (הוראת שעה) (תיקון),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BE77B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02EDE4C-2BB3-4DF8-B3DC-830C5319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E77B5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2008-04-07T09:36:00Z</dcterms:created>
  <dcterms:modified xsi:type="dcterms:W3CDTF">2008-04-07T09:36:00Z</dcterms:modified>
</cp:coreProperties>
</file>