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76FC" w:rsidRDefault="00D376FC">
      <w:pPr>
        <w:rPr>
          <w:rtl/>
        </w:rPr>
      </w:pPr>
    </w:p>
    <w:p w:rsidR="00D376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667" inset="0,0,0,0">
              <w:txbxContent>
                <w:p w:rsidR="00511FD0" w:rsidRDefault="00511FD0">
                  <w:r>
                    <w:rPr>
                      <w:rtl/>
                    </w:rPr>
                    <w:t>46                                          ספר החוקים 1495                   י"ט בטבת התשנ"ה 22.12.1994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8" o:spid="_x0000_s1026" type="#_x0000_t202" style="position:absolute;left:0;text-align:left;margin-left:74.45pt;margin-top:682.75pt;width:404.7pt;height:77.4pt;z-index:3;mso-position-horizontal-relative:page;mso-position-vertical-relative:page" stroked="f">
            <v:textbox style="mso-next-textbox:#_x0000_s42668" inset="0,0,0,0">
              <w:txbxContent>
                <w:p w:rsidR="00511FD0" w:rsidRDefault="00511FD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בטבת התשנ"ה (20 בדצמבר 994 ו); הצעת החוק ודברי הסבר פורסמו בהצעות חוק</w:t>
                  </w:r>
                </w:p>
                <w:p w:rsidR="00511FD0" w:rsidRDefault="00511FD0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2312, מיום י'ג בחשון התשנ'ה (18 באוקטובר 1994), עמ' 65.</w:t>
                  </w:r>
                </w:p>
                <w:p w:rsidR="00511FD0" w:rsidRDefault="00511FD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 סיח התשנ"ב, עמ' 144 ועמ' 250; התשנ"ד, עמ' .244</w:t>
                  </w:r>
                </w:p>
                <w:p w:rsidR="00511FD0" w:rsidRPr="00D376FC" w:rsidRDefault="00511FD0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ס"ח התשכ"ח, עמ' 20; ק"ת התשנ"ד, עמ' 1444.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9" o:spid="_x0000_s1027" type="#_x0000_t202" style="position:absolute;left:0;text-align:left;margin-left:78pt;margin-top:118.85pt;width:479.55pt;height:563.9pt;z-index:2;mso-position-horizontal-relative:page;mso-position-vertical-relative:page" stroked="f">
            <v:textbox style="mso-next-textbox:#_x0000_s4266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8"/>
                    <w:gridCol w:w="1282"/>
                    <w:gridCol w:w="1722"/>
                  </w:tblGrid>
                  <w:tr w:rsidR="00511FD0" w:rsidRPr="00D376FC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גא לחוק חובת המכרזים, התשנ"ב-1992 1 (להלן - החוק העיקרי) -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(ו)&lt; בסופה יבוא "ובכלל זה תוצרת אזור במשמעותו בתקנות שעת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(יהודה והשומרון וחבל עזה - שיפוט בעבירות ועזרה משפטית),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התשכ"ח-1967 2 (בחוק זה - אזור), והכל אם יוצרה בידי אזרח ישראלי או תושב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בישראל, או בידי תאגיד הרשום בישראל.";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בסופה יבוא "לרבות קביעת התחייבות לשיתוף פעולה עסקי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 או לרכש גומלין בינלאומי כתנאי להשתתפות במכרז, ולרבות קביעת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כאמור בהתקשרויות המבוצעות שלא באמצעות מכרז.'';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אחרי "מאזורי עדיפות לאומית'' יבוא "לרבות קביעת הוראות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חיוב מי שמתקשר עם מערבת הבטחון לרכוש תוצרת מאזורי עדיפות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לאומית, וקביעת הוראות לענין הגבלת מכרזים בידי מערכת הבטחון למציעים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מאזורי עדיפות לאומית.";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זה -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"העדפה'' - לרבות בדרך של פיצול ההתקשרות נושא המכרז, בין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מציעים של תוצרת הארץ לבין מציעים של תוצרת שאינה תוצרת הארץ,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בין מציעים של תוצרת מאזורי עדיפות לאומית לבין מציעים של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שלא מאזורים כאמור, לפי הענין, והכל בתנאים, בשיעורים, ועל פי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שייקבעו בתקנות;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"תוצרת הארץ'', "תוצרת אזורי עדיפות לאומית" - כפי שייקבע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987" w:type="pct"/>
                      </w:tcPr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511FD0" w:rsidRPr="00D376FC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3א לחוק העיקרי יבוא:</w:t>
                        </w:r>
                      </w:p>
                    </w:tc>
                    <w:tc>
                      <w:tcPr>
                        <w:tcW w:w="987" w:type="pct"/>
                      </w:tcPr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3ב</w:t>
                        </w:r>
                      </w:p>
                    </w:tc>
                  </w:tr>
                  <w:tr w:rsidR="00511FD0">
                    <w:trPr>
                      <w:jc w:val="right"/>
                    </w:trPr>
                    <w:tc>
                      <w:tcPr>
                        <w:tcW w:w="3278" w:type="pct"/>
                      </w:tcPr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הממשלה רשאית להורות בצו, באישור ועדת החוץ והבטחון של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כי המדינה או תאגיד ממשלתי לא יתקשרו בחוזה לביצוע עסקה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 עם מדינת חוץ מסוימת או עם ספק חוץ מסוים מטעמים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שבמדיניות חוץ; הוראה כאמור תפורסם ברשומות, והיא לא תחול לענין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מברז שפורסם קודם לפרסומה; ניתנה הוראה כאמור לחברה ממשלתית או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בת ממשלתית, יחולו הוראות סעיף 3א(ב)."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להתקשרות</w:t>
                        </w:r>
                      </w:p>
                    </w:tc>
                    <w:tc>
                      <w:tcPr>
                        <w:tcW w:w="987" w:type="pct"/>
                      </w:tcPr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1FD0" w:rsidRPr="00D376FC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העיקרי -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(ב) יבוא: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עד כניסתן לתוקף של תקנות לפי סעיף 3א(א) פסקאות (ו) או (2) או עד יום</w:t>
                        </w:r>
                      </w:p>
                      <w:p w:rsidR="00511FD0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כ''ח בטבת התשנ''ה (31 בדצמבר 1994) לפי המוקדם, ולענין תקנות לפי סעיף</w:t>
                        </w:r>
                      </w:p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  <w:r>
                          <w:t xml:space="preserve">x10x3( - </w:t>
                        </w:r>
                        <w:r>
                          <w:rPr>
                            <w:rtl/>
                          </w:rPr>
                          <w:t>עד כניסתן לתוקף או עד ליום ט''ו באייר התשנ'ה )15 במאי 1995</w:t>
                        </w:r>
                        <w:r>
                          <w:t>(</w:t>
                        </w:r>
                      </w:p>
                    </w:tc>
                    <w:tc>
                      <w:tcPr>
                        <w:tcW w:w="987" w:type="pct"/>
                      </w:tcPr>
                      <w:p w:rsidR="00511FD0" w:rsidRPr="00D376FC" w:rsidRDefault="00511F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511FD0" w:rsidRDefault="00511F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70" o:spid="_x0000_s1028" type="#_x0000_t202" style="position:absolute;left:0;text-align:left;margin-left:143.35pt;margin-top:95.7pt;width:267.7pt;height:18.8pt;z-index:1;mso-position-horizontal-relative:page;mso-position-vertical-relative:page" stroked="f">
            <v:textbox style="mso-next-textbox:#_x0000_s42670" inset="0,0,0,0">
              <w:txbxContent>
                <w:p w:rsidR="00511FD0" w:rsidRPr="00D376FC" w:rsidRDefault="00511FD0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מס' 7), התשנ"ה-1994*</w:t>
                  </w:r>
                </w:p>
              </w:txbxContent>
            </v:textbox>
            <w10:wrap anchorx="page" anchory="page"/>
          </v:shape>
        </w:pict>
      </w:r>
    </w:p>
    <w:p w:rsidR="00B1647A" w:rsidRDefault="00B1647A">
      <w:pPr>
        <w:rPr>
          <w:rtl/>
        </w:rPr>
      </w:pPr>
      <w:r>
        <w:rPr>
          <w:rtl/>
        </w:rPr>
        <w:br w:type="page"/>
      </w:r>
    </w:p>
    <w:p w:rsidR="00B1647A" w:rsidRDefault="00000000">
      <w:pPr>
        <w:rPr>
          <w:rtl/>
        </w:rPr>
      </w:pPr>
      <w:r>
        <w:pict>
          <v:shape id="_x0000_s4267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671" inset="0,0,0,0">
              <w:txbxContent>
                <w:p w:rsidR="00511FD0" w:rsidRDefault="00511FD0">
                  <w:r>
                    <w:rPr>
                      <w:rtl/>
                    </w:rPr>
                    <w:t>47                                          ספר החוקים 1495                   י"ט בטבת התשנ"ה 22.12.1994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2" o:spid="_x0000_s1030" type="#_x0000_t202" style="position:absolute;left:0;text-align:left;margin-left:341.1pt;margin-top:735.6pt;width:212.45pt;height:27.5pt;z-index:10;mso-position-horizontal-relative:page;mso-position-vertical-relative:page" stroked="f">
            <v:textbox style="mso-next-textbox:#_x0000_s42672" inset="0,0,0,0">
              <w:txbxContent>
                <w:p w:rsidR="00511FD0" w:rsidRDefault="00511F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673" o:spid="_x0000_s1031" type="#_x0000_t202" style="position:absolute;left:0;text-align:left;margin-left:304.9pt;margin-top:231.1pt;width:86.9pt;height:38.8pt;z-index:9;mso-position-horizontal-relative:page;mso-position-vertical-relative:page" stroked="f">
            <v:textbox style="mso-next-textbox:#_x0000_s42673" inset="0,0,0,0">
              <w:txbxContent>
                <w:p w:rsidR="00511FD0" w:rsidRDefault="00511FD0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11FD0" w:rsidRDefault="00511FD0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4" o:spid="_x0000_s1032" type="#_x0000_t202" style="position:absolute;left:0;text-align:left;margin-left:477.15pt;margin-top:231.1pt;width:77.4pt;height:38.8pt;z-index:8;mso-position-horizontal-relative:page;mso-position-vertical-relative:page" stroked="f">
            <v:textbox style="mso-next-textbox:#_x0000_s42674" inset="0,0,0,0">
              <w:txbxContent>
                <w:p w:rsidR="00511FD0" w:rsidRDefault="00511FD0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11FD0" w:rsidRDefault="00511FD0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5" o:spid="_x0000_s1033" type="#_x0000_t202" style="position:absolute;left:0;text-align:left;margin-left:174.8pt;margin-top:196.65pt;width:150.7pt;height:27.5pt;z-index:7;mso-position-horizontal-relative:page;mso-position-vertical-relative:page" stroked="f">
            <v:textbox style="mso-next-textbox:#_x0000_s42675" inset="0,0,0,0">
              <w:txbxContent>
                <w:p w:rsidR="00511FD0" w:rsidRDefault="00511FD0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11FD0" w:rsidRDefault="00511FD0">
                  <w:pPr>
                    <w:pStyle w:val="OCRStyle2"/>
                    <w:ind w:left="10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6" o:spid="_x0000_s1034" type="#_x0000_t202" style="position:absolute;left:0;text-align:left;margin-left:385.85pt;margin-top:195.85pt;width:91.3pt;height:34.45pt;z-index:6;mso-position-horizontal-relative:page;mso-position-vertical-relative:page" stroked="f">
            <v:textbox style="mso-next-textbox:#_x0000_s42676" inset="0,0,0,0">
              <w:txbxContent>
                <w:p w:rsidR="00511FD0" w:rsidRDefault="00511FD0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11FD0" w:rsidRDefault="00511FD0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7" o:spid="_x0000_s1035" type="#_x0000_t202" style="position:absolute;left:0;text-align:left;margin-left:157.55pt;margin-top:88.15pt;width:384.9pt;height:91.3pt;z-index:5;mso-position-horizontal-relative:page;mso-position-vertical-relative:page" stroked="f">
            <v:textbox style="mso-next-textbox:#_x0000_s42677" inset="0,0,0,0">
              <w:txbxContent>
                <w:p w:rsidR="00511FD0" w:rsidRDefault="00511FD0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לפי המוקדם, ינהגו המדינה וכל תאגיד ממשלתי בכל הענינים המפורטים</w:t>
                  </w:r>
                </w:p>
                <w:p w:rsidR="00511FD0" w:rsidRDefault="00511FD0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בסעיף האמור, לפי הענין, לפי הכללים והנהלים שהיו נהוגים לפני תחילתו של</w:t>
                  </w:r>
                </w:p>
                <w:p w:rsidR="00511FD0" w:rsidRDefault="00511FD0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חוק זה.''</w:t>
                  </w:r>
                </w:p>
                <w:p w:rsidR="00511FD0" w:rsidRDefault="00511FD0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(ג), במקום 'בתום שנתיים מיום תחילתו של חוק זה" יבוא "ביום כ''ב</w:t>
                  </w:r>
                </w:p>
                <w:p w:rsidR="00511FD0" w:rsidRDefault="00511FD0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באדר ב' התשנ''ז (51 במרס 1997)''.</w:t>
                  </w:r>
                </w:p>
              </w:txbxContent>
            </v:textbox>
            <w10:wrap anchorx="page" anchory="page"/>
          </v:shape>
        </w:pict>
      </w:r>
    </w:p>
    <w:p w:rsidR="00511FD0" w:rsidRDefault="00511FD0">
      <w:pPr>
        <w:rPr>
          <w:rtl/>
        </w:rPr>
      </w:pPr>
      <w:r>
        <w:rPr>
          <w:rtl/>
        </w:rPr>
        <w:br w:type="page"/>
      </w:r>
    </w:p>
    <w:p w:rsidR="00511FD0" w:rsidRDefault="00000000">
      <w:pPr>
        <w:rPr>
          <w:rtl/>
        </w:rPr>
      </w:pPr>
      <w:r>
        <w:pict>
          <v:shape id="_x0000_s42678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678" inset="0,0,0,0">
              <w:txbxContent>
                <w:p w:rsidR="00511FD0" w:rsidRDefault="00511FD0">
                  <w:r>
                    <w:rPr>
                      <w:rtl/>
                    </w:rPr>
                    <w:t>48                                          ספר החוקים 1495                   י"ט בטבת התשנ"ה 22.12.1994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9" o:spid="_x0000_s1037" type="#_x0000_t202" style="position:absolute;left:0;text-align:left;margin-left:86.55pt;margin-top:738pt;width:219.6pt;height:19.8pt;z-index:12;mso-position-horizontal-relative:page;mso-position-vertical-relative:page" stroked="f">
            <v:textbox style="mso-next-textbox:#_x0000_s42679" inset="0,0,0,0">
              <w:txbxContent>
                <w:p w:rsidR="00511FD0" w:rsidRDefault="00511FD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376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683349-4D02-47D4-97E5-B4CE7F95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76F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1647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1F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2008-04-07T09:44:00Z</dcterms:created>
  <dcterms:modified xsi:type="dcterms:W3CDTF">2008-04-07T09:44:00Z</dcterms:modified>
</cp:coreProperties>
</file>