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741F" w:rsidRDefault="006E741F">
      <w:pPr>
        <w:rPr>
          <w:rtl/>
        </w:rPr>
      </w:pPr>
    </w:p>
    <w:p w:rsidR="006E74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80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2806" inset="0,0,0,0">
              <w:txbxContent>
                <w:p w:rsidR="006E741F" w:rsidRDefault="006E741F">
                  <w:r>
                    <w:rPr>
                      <w:rtl/>
                    </w:rPr>
                    <w:t>106                                         ספר החוקים 1502                 ג' באדר א' התשנ"ה 03.02.1995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07" o:spid="_x0000_s1026" type="#_x0000_t202" style="position:absolute;left:0;text-align:left;margin-left:89.3pt;margin-top:337.05pt;width:378.75pt;height:102.35pt;z-index:7;mso-position-horizontal-relative:page;mso-position-vertical-relative:page" stroked="f">
            <v:textbox style="mso-next-textbox:#_x0000_s42807" inset="0,0,0,0">
              <w:txbxContent>
                <w:p w:rsidR="006E741F" w:rsidRDefault="006E741F">
                  <w:pPr>
                    <w:pStyle w:val="OCRStyle1"/>
                    <w:ind w:left="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כ"ג בשבט התשנ''ה (24 בינואר 1995); הצעת החוק ודברי הסבר פורסמו בהצעות חוק</w:t>
                  </w:r>
                </w:p>
                <w:p w:rsidR="006E741F" w:rsidRDefault="006E741F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2331 מיום כ''ז בכסלו התשנ-ה (30 בנובמבר 1994), עמ' 158.</w:t>
                  </w:r>
                </w:p>
                <w:p w:rsidR="006E741F" w:rsidRPr="006E741F" w:rsidRDefault="006E741F">
                  <w:pPr>
                    <w:pStyle w:val="OCRStyle1"/>
                    <w:ind w:left="11"/>
                  </w:pPr>
                  <w:r>
                    <w:rPr>
                      <w:rtl/>
                    </w:rPr>
                    <w:t>1 ס"ח התשנ''ב, עמ' .198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08" o:spid="_x0000_s1027" type="#_x0000_t202" style="position:absolute;left:0;text-align:left;margin-left:97.8pt;margin-top:256.1pt;width:105.95pt;height:30.1pt;z-index:6;mso-position-horizontal-relative:page;mso-position-vertical-relative:page" stroked="f">
            <v:textbox style="mso-next-textbox:#_x0000_s42808" inset="0,0,0,0">
              <w:txbxContent>
                <w:p w:rsidR="006E741F" w:rsidRDefault="006E741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שמעון שטרית</w:t>
                  </w:r>
                </w:p>
                <w:p w:rsidR="006E741F" w:rsidRDefault="006E741F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שר הכלכלה והתכנון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09" o:spid="_x0000_s1028" type="#_x0000_t202" style="position:absolute;left:0;text-align:left;margin-left:212.25pt;margin-top:282.8pt;width:87.1pt;height:31.9pt;z-index:5;mso-position-horizontal-relative:page;mso-position-vertical-relative:page" stroked="f">
            <v:textbox style="mso-next-textbox:#_x0000_s42809" inset="0,0,0,0">
              <w:txbxContent>
                <w:p w:rsidR="006E741F" w:rsidRDefault="006E741F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E741F" w:rsidRDefault="006E741F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10" o:spid="_x0000_s1029" type="#_x0000_t202" style="position:absolute;left:0;text-align:left;margin-left:306.1pt;margin-top:252.75pt;width:68.9pt;height:34.45pt;z-index:4;mso-position-horizontal-relative:page;mso-position-vertical-relative:page" stroked="f">
            <v:textbox style="mso-next-textbox:#_x0000_s42810" inset="0,0,0,0">
              <w:txbxContent>
                <w:p w:rsidR="006E741F" w:rsidRDefault="006E741F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E741F" w:rsidRDefault="006E741F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11" o:spid="_x0000_s1030" type="#_x0000_t202" style="position:absolute;left:0;text-align:left;margin-left:386.3pt;margin-top:280.25pt;width:76.65pt;height:38.8pt;z-index:3;mso-position-horizontal-relative:page;mso-position-vertical-relative:page" stroked="f">
            <v:textbox style="mso-next-textbox:#_x0000_s42811" inset="0,0,0,0">
              <w:txbxContent>
                <w:p w:rsidR="006E741F" w:rsidRDefault="006E741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E741F" w:rsidRDefault="006E741F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12" o:spid="_x0000_s1031" type="#_x0000_t202" style="position:absolute;left:0;text-align:left;margin-left:89.3pt;margin-top:121.85pt;width:463.1pt;height:126.5pt;z-index:2;mso-position-horizontal-relative:page;mso-position-vertical-relative:page" stroked="f">
            <v:textbox style="mso-next-textbox:#_x0000_s4281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8"/>
                    <w:gridCol w:w="1076"/>
                    <w:gridCol w:w="1426"/>
                  </w:tblGrid>
                  <w:tr w:rsidR="006E741F" w:rsidRPr="006E741F">
                    <w:trPr>
                      <w:jc w:val="right"/>
                    </w:trPr>
                    <w:tc>
                      <w:tcPr>
                        <w:tcW w:w="4153" w:type="pct"/>
                        <w:gridSpan w:val="2"/>
                      </w:tcPr>
                      <w:p w:rsidR="006E741F" w:rsidRPr="006E741F" w:rsidRDefault="006E7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הביקורת הפנימית, התשנ"ב-1992 1, אחרי סעיף 6 יבוא:</w:t>
                        </w:r>
                      </w:p>
                    </w:tc>
                    <w:tc>
                      <w:tcPr>
                        <w:tcW w:w="847" w:type="pct"/>
                      </w:tcPr>
                      <w:p w:rsidR="006E741F" w:rsidRPr="006E741F" w:rsidRDefault="006E7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6E741F">
                    <w:trPr>
                      <w:jc w:val="right"/>
                    </w:trPr>
                    <w:tc>
                      <w:tcPr>
                        <w:tcW w:w="3514" w:type="pct"/>
                      </w:tcPr>
                      <w:p w:rsidR="006E741F" w:rsidRDefault="006E7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הוגש דין וחשבון של המבקר הפנימי כאמור בסעיף 6, תקיים</w:t>
                        </w:r>
                      </w:p>
                      <w:p w:rsidR="006E741F" w:rsidRDefault="006E7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הגוף הציבורי דיון בממצאיו תוך 45 ימים מיום הגשתו; העתק</w:t>
                        </w:r>
                      </w:p>
                      <w:p w:rsidR="006E741F" w:rsidRDefault="006E7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מפרוטוקול הדיון יועבר לממונה כמשמעותו בסעיף 5.</w:t>
                        </w:r>
                      </w:p>
                      <w:p w:rsidR="006E741F" w:rsidRDefault="006E7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פעלה הנהלת הגוף הציבורי באמור בסעיף קטן (א/ רשאי כל</w:t>
                        </w:r>
                      </w:p>
                      <w:p w:rsidR="006E741F" w:rsidRDefault="006E7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מחבריה לפנות לממונה, בכתב, ולדרוש קיום הדיון; היתה דרישה</w:t>
                        </w:r>
                      </w:p>
                      <w:p w:rsidR="006E741F" w:rsidRDefault="006E7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יורה הממונה על קיום הדיון תוך 30 ימים מיום קבלת</w:t>
                        </w:r>
                      </w:p>
                      <w:p w:rsidR="006E741F" w:rsidRDefault="006E7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הדרישה."</w:t>
                        </w:r>
                      </w:p>
                    </w:tc>
                    <w:tc>
                      <w:tcPr>
                        <w:tcW w:w="639" w:type="pct"/>
                      </w:tcPr>
                      <w:p w:rsidR="006E741F" w:rsidRDefault="006E7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"דיון בממצאי</w:t>
                        </w:r>
                      </w:p>
                      <w:p w:rsidR="006E741F" w:rsidRPr="006E741F" w:rsidRDefault="006E74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דו''ח המבקר</w:t>
                        </w:r>
                      </w:p>
                    </w:tc>
                    <w:tc>
                      <w:tcPr>
                        <w:tcW w:w="847" w:type="pct"/>
                      </w:tcPr>
                      <w:p w:rsidR="006E741F" w:rsidRDefault="006E741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E741F" w:rsidRDefault="006E74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813" o:spid="_x0000_s1032" type="#_x0000_t202" style="position:absolute;left:0;text-align:left;margin-left:153.85pt;margin-top:93.35pt;width:258.2pt;height:21.6pt;z-index:1;mso-position-horizontal-relative:page;mso-position-vertical-relative:page" stroked="f">
            <v:textbox style="mso-next-textbox:#_x0000_s42813" inset="0,0,0,0">
              <w:txbxContent>
                <w:p w:rsidR="006E741F" w:rsidRPr="006E741F" w:rsidRDefault="006E741F">
                  <w:pPr>
                    <w:pStyle w:val="OCRStyle1"/>
                    <w:ind w:left="19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הביקורת הפנימית (תיקון),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E74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93BFD8-CA50-4E56-9D12-484B155C5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E741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2008-04-07T09:49:00Z</dcterms:created>
  <dcterms:modified xsi:type="dcterms:W3CDTF">2008-04-07T09:49:00Z</dcterms:modified>
</cp:coreProperties>
</file>