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7BD3" w:rsidRDefault="00DC7BD3">
      <w:pPr>
        <w:rPr>
          <w:rtl/>
        </w:rPr>
      </w:pPr>
    </w:p>
    <w:p w:rsidR="00DC7B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82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825" inset="0,0,0,0">
              <w:txbxContent>
                <w:p w:rsidR="00142961" w:rsidRDefault="00142961">
                  <w:r>
                    <w:rPr>
                      <w:rtl/>
                    </w:rPr>
                    <w:t>118                                         ספר החוקים 1504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26" o:spid="_x0000_s1026" type="#_x0000_t202" style="position:absolute;left:0;text-align:left;margin-left:77.2pt;margin-top:668.65pt;width:383.9pt;height:92.05pt;z-index:3;mso-position-horizontal-relative:page;mso-position-vertical-relative:page" stroked="f">
            <v:textbox style="mso-next-textbox:#_x0000_s42826" inset="0,0,0,0">
              <w:txbxContent>
                <w:p w:rsidR="00142961" w:rsidRDefault="00142961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בשבט התשנ"ה (31 בינואר 1995); הצעת החוק ודברי הסבר פורסמו בהצעות חוק</w:t>
                  </w:r>
                </w:p>
                <w:p w:rsidR="00142961" w:rsidRDefault="00142961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2308, מיום ה' בחשון התשנ"ה (10 באוקטובר 1994), עמ' 48.</w:t>
                  </w:r>
                </w:p>
                <w:p w:rsidR="00142961" w:rsidRDefault="00142961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ס'ח התשנ''א, עמי .112</w:t>
                  </w:r>
                </w:p>
                <w:p w:rsidR="00142961" w:rsidRDefault="00142961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2 ס"ח התשי''ב, עמ' .354</w:t>
                  </w:r>
                </w:p>
                <w:p w:rsidR="00142961" w:rsidRPr="00DC7BD3" w:rsidRDefault="00142961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3 ס''ח התשל"ז,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27" o:spid="_x0000_s1027" type="#_x0000_t202" style="position:absolute;left:0;text-align:left;margin-left:75.4pt;margin-top:111.65pt;width:458.95pt;height:548.45pt;z-index:2;mso-position-horizontal-relative:page;mso-position-vertical-relative:page" stroked="f">
            <v:textbox style="mso-next-textbox:#_x0000_s4282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41"/>
                    <w:gridCol w:w="1509"/>
                    <w:gridCol w:w="1397"/>
                  </w:tblGrid>
                  <w:tr w:rsidR="00142961" w:rsidRPr="00DC7BD3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142961" w:rsidRDefault="0014296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בתקופה של שנה החל ביום פרסומו של חוק זה -</w:t>
                        </w:r>
                      </w:p>
                      <w:p w:rsidR="00142961" w:rsidRPr="00DC7BD3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בחוק עובדים זרים (העסקה שלא כדין), התשנ"א-1991 1, אחרי סעיף 2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142961" w:rsidRPr="00DC7BD3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</w:tr>
                  <w:tr w:rsidR="00142961">
                    <w:trPr>
                      <w:jc w:val="right"/>
                    </w:trPr>
                    <w:tc>
                      <w:tcPr>
                        <w:tcW w:w="3259" w:type="pct"/>
                      </w:tcPr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מעביד או מתווך כוח אדם שעשה אחד מאלה, בין בתמורה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שלא בתמורה: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העמיר ביודעין מקום לינה לרשותו של עובד זה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שנכנס לישראל שלא כדין, או שיושב בה שלא כדין או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שעובד בישראל ללא רשיון שניתן לכך לפי חוק הכניסה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התשי"ב-1952  2(להלן - רשיון עבודה כדין), בין אם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היה בבעלותו או בהחזקתו, ובין אם היה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בבעלותו או בהחזקתו של אדם אחר-,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תיווך או סייע בכל דרך אחרת, בהשגת מקום לינה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זר כאמור בפסקה (ו),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כפל הקנס האמור בסעיף 61(א)(2) לחוק העונשין,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 3, ואם נעברה העבירה אגב עיסוקו של מי שעבר את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בעסקו או במשלח ידו, דינו - קנס באמור או מאסר ששה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חודשים.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עבירה לפי סעיף קטן (א), מעביד או מתווך כוח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שעשה אחד המעשים האמורים בסעיף קטן (א), עליו הראיה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שבדק כי בידי העובד הזר מסמכים שלפיהם הוא נכנס לישראל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יושב בה כדין ועובד בה לפי רשיון עבודה כדין או שבנסיבות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לא היה עליו לדעת, בעת שעשה את אחד המעשים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האמורים, שהעובד הזר נכנס לישראל שלא כדין, או שהוא יושב</w:t>
                        </w:r>
                      </w:p>
                      <w:p w:rsidR="00142961" w:rsidRPr="00DC7BD3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שלא כדין, או שהוא עובד בה ללא רשיון עבודה כדין."</w:t>
                        </w:r>
                      </w:p>
                    </w:tc>
                    <w:tc>
                      <w:tcPr>
                        <w:tcW w:w="904" w:type="pct"/>
                      </w:tcPr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'הלנה שלא</w:t>
                        </w:r>
                      </w:p>
                      <w:p w:rsidR="00142961" w:rsidRPr="00DC7BD3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</w:t>
                        </w:r>
                      </w:p>
                    </w:tc>
                    <w:tc>
                      <w:tcPr>
                        <w:tcW w:w="837" w:type="pct"/>
                      </w:tcPr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42961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142961" w:rsidRPr="00DC7BD3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בחוק הכניסה לישראל, התשי"ב-1952, אחרי סעיף 12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42961">
                    <w:trPr>
                      <w:jc w:val="right"/>
                    </w:trPr>
                    <w:tc>
                      <w:tcPr>
                        <w:tcW w:w="3259" w:type="pct"/>
                      </w:tcPr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מי שהעמיד ביודעין, בין בתמורה ובין שלא בתמורה,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לינה לרשותו של תושב האזור, שנכנס לישראל או שיושב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שלא כדין, או סייע לתושב האזור כאמור להשיג מקום לינה,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כפל הקנס האמור בסעיף 61(א)(2) לחוק העונשין,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התשל"ז-1977, ואם נעברה העבירה אגב עיסוקו של מי שעבר את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בעסקו או במשלח ידו, דינו - קנס כאמור או מאסר ששה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חורשים.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שעשה מעשה כאמור בסעיף קטן (א), עליו הראיה</w:t>
                        </w:r>
                      </w:p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שבדק שבידי תושב האזור מסמכים שלפיהם הוא נכנס לישראל</w:t>
                        </w:r>
                      </w:p>
                      <w:p w:rsidR="00142961" w:rsidRPr="00DC7BD3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ויושב בה כדין או שבנסיבות הענין לא היה עליו לדעת, בעת</w:t>
                        </w:r>
                      </w:p>
                    </w:tc>
                    <w:tc>
                      <w:tcPr>
                        <w:tcW w:w="904" w:type="pct"/>
                      </w:tcPr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''הלנה שלא</w:t>
                        </w:r>
                      </w:p>
                      <w:p w:rsidR="00142961" w:rsidRPr="00DC7BD3" w:rsidRDefault="001429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</w:t>
                        </w:r>
                      </w:p>
                    </w:tc>
                    <w:tc>
                      <w:tcPr>
                        <w:tcW w:w="837" w:type="pct"/>
                      </w:tcPr>
                      <w:p w:rsidR="00142961" w:rsidRDefault="0014296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42961" w:rsidRDefault="001429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828" o:spid="_x0000_s1028" type="#_x0000_t202" style="position:absolute;left:0;text-align:left;margin-left:102.95pt;margin-top:78.2pt;width:333.25pt;height:30.9pt;z-index:1;mso-position-horizontal-relative:page;mso-position-vertical-relative:page" stroked="f">
            <v:textbox style="mso-next-textbox:#_x0000_s42828" inset="0,0,0,0">
              <w:txbxContent>
                <w:p w:rsidR="00142961" w:rsidRPr="00DC7BD3" w:rsidRDefault="00142961">
                  <w:pPr>
                    <w:pStyle w:val="OCRStyle1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איסור הלנה (תיקוני חקיקה) (הוראות שעה), התשנ"ה-1995*</w:t>
                  </w:r>
                </w:p>
              </w:txbxContent>
            </v:textbox>
            <w10:wrap anchorx="page" anchory="page"/>
          </v:shape>
        </w:pict>
      </w:r>
    </w:p>
    <w:p w:rsidR="00142961" w:rsidRDefault="00142961">
      <w:pPr>
        <w:rPr>
          <w:rtl/>
        </w:rPr>
      </w:pPr>
      <w:r>
        <w:rPr>
          <w:rtl/>
        </w:rPr>
        <w:br w:type="page"/>
      </w:r>
    </w:p>
    <w:p w:rsidR="00142961" w:rsidRDefault="00000000">
      <w:pPr>
        <w:rPr>
          <w:rtl/>
        </w:rPr>
      </w:pPr>
      <w:r>
        <w:pict>
          <v:shape id="_x0000_s42829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2829" inset="0,0,0,0">
              <w:txbxContent>
                <w:p w:rsidR="00142961" w:rsidRDefault="00142961">
                  <w:r>
                    <w:rPr>
                      <w:rtl/>
                    </w:rPr>
                    <w:t>119                                         ספר החוקים 1504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30" o:spid="_x0000_s1030" type="#_x0000_t202" style="position:absolute;left:0;text-align:left;margin-left:461.75pt;margin-top:400.1pt;width:99pt;height:13.65pt;z-index:11;mso-position-horizontal-relative:page;mso-position-vertical-relative:page" stroked="f">
            <v:textbox style="mso-next-textbox:#_x0000_s42830" inset="0,0,0,0">
              <w:txbxContent>
                <w:p w:rsidR="00142961" w:rsidRPr="00142961" w:rsidRDefault="00142961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4 ס''ח התשמ''ו, עמ' 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31" o:spid="_x0000_s1031" type="#_x0000_t202" style="position:absolute;left:0;text-align:left;margin-left:174.05pt;margin-top:352.8pt;width:100.8pt;height:30.9pt;z-index:10;mso-position-horizontal-relative:page;mso-position-vertical-relative:page" stroked="f">
            <v:textbox style="mso-next-textbox:#_x0000_s42831" inset="0,0,0,0">
              <w:txbxContent>
                <w:p w:rsidR="00142961" w:rsidRDefault="00142961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42961" w:rsidRDefault="00142961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32" o:spid="_x0000_s1032" type="#_x0000_t202" style="position:absolute;left:0;text-align:left;margin-left:323.15pt;margin-top:357.95pt;width:85.15pt;height:27.5pt;z-index:9;mso-position-horizontal-relative:page;mso-position-vertical-relative:page" stroked="f">
            <v:textbox style="mso-next-textbox:#_x0000_s42832" inset="0,0,0,0">
              <w:txbxContent>
                <w:p w:rsidR="00142961" w:rsidRDefault="00142961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42961" w:rsidRDefault="00142961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33" o:spid="_x0000_s1033" type="#_x0000_t202" style="position:absolute;left:0;text-align:left;margin-left:475.4pt;margin-top:355.35pt;width:69.7pt;height:33.45pt;z-index:8;mso-position-horizontal-relative:page;mso-position-vertical-relative:page" stroked="f">
            <v:textbox style="mso-next-textbox:#_x0000_s42833" inset="0,0,0,0">
              <w:txbxContent>
                <w:p w:rsidR="00142961" w:rsidRDefault="00142961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42961" w:rsidRDefault="00142961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34" o:spid="_x0000_s1034" type="#_x0000_t202" style="position:absolute;left:0;text-align:left;margin-left:243.95pt;margin-top:322.5pt;width:104.95pt;height:28.5pt;z-index:7;mso-position-horizontal-relative:page;mso-position-vertical-relative:page" stroked="f">
            <v:textbox style="mso-next-textbox:#_x0000_s42834" inset="0,0,0,0">
              <w:txbxContent>
                <w:p w:rsidR="00142961" w:rsidRDefault="00142961">
                  <w:pPr>
                    <w:pStyle w:val="OCRStyle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142961" w:rsidRDefault="00142961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35" o:spid="_x0000_s1035" type="#_x0000_t202" style="position:absolute;left:0;text-align:left;margin-left:400.55pt;margin-top:322.5pt;width:67.9pt;height:31.9pt;z-index:6;mso-position-horizontal-relative:page;mso-position-vertical-relative:page" stroked="f">
            <v:textbox style="mso-next-textbox:#_x0000_s42835" inset="0,0,0,0">
              <w:txbxContent>
                <w:p w:rsidR="00142961" w:rsidRDefault="00142961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משה שחל</w:t>
                  </w:r>
                </w:p>
                <w:p w:rsidR="00142961" w:rsidRDefault="00142961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36" o:spid="_x0000_s1036" type="#_x0000_t202" style="position:absolute;left:0;text-align:left;margin-left:149.1pt;margin-top:83.3pt;width:392.65pt;height:235.05pt;z-index:5;mso-position-horizontal-relative:page;mso-position-vertical-relative:page" stroked="f">
            <v:textbox style="mso-next-textbox:#_x0000_s42836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2"/>
                    <w:gridCol w:w="1436"/>
                  </w:tblGrid>
                  <w:tr w:rsidR="00142961">
                    <w:trPr>
                      <w:jc w:val="right"/>
                    </w:trPr>
                    <w:tc>
                      <w:tcPr>
                        <w:tcW w:w="3994" w:type="pct"/>
                      </w:tcPr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את אחד המעשים האמורים בסעיף קטן (א), שתושב האזור</w:t>
                        </w:r>
                      </w:p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נכנס לישראל שלא כדין או שהוא יושב בה שלא כדין.</w:t>
                        </w:r>
                      </w:p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"אזור" - יהודה והשומרון וחבל עזה.</w:t>
                        </w:r>
                      </w:p>
                    </w:tc>
                    <w:tc>
                      <w:tcPr>
                        <w:tcW w:w="1006" w:type="pct"/>
                      </w:tcPr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42961" w:rsidRPr="00142961">
                    <w:trPr>
                      <w:jc w:val="right"/>
                    </w:trPr>
                    <w:tc>
                      <w:tcPr>
                        <w:tcW w:w="3994" w:type="pct"/>
                      </w:tcPr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12ב. (א) עבירה לפי סעיף 12א היא עבירה מינהלית,</w:t>
                        </w:r>
                      </w:p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במשמעותה בחוק העבירות המינהליות, התשמ"ו-1985 4, והוראות</w:t>
                        </w:r>
                      </w:p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האמור יחולו עליה, בשינויים המחוייבים בשל הוראות סעיף</w:t>
                        </w:r>
                      </w:p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וסעיף 12ג.</w:t>
                        </w:r>
                      </w:p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לעבירה מינהלית לפי סעיף זה יהיה קנס מינהלי קצוב</w:t>
                        </w:r>
                      </w:p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2,000 שקלים חדשים, לגבי כל תושב האזור שלגביו נעברה</w:t>
                        </w:r>
                      </w:p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העבירה, ובעבירה מינהלית חוזרת - כפל הקנס האמור; לענין זה,</w:t>
                        </w:r>
                      </w:p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"עבירה חוזרת" - כמשמעותה בחוק העבירות המינהליות,</w:t>
                        </w:r>
                      </w:p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התשמ"ו-1985.</w:t>
                        </w:r>
                      </w:p>
                    </w:tc>
                    <w:tc>
                      <w:tcPr>
                        <w:tcW w:w="1006" w:type="pct"/>
                      </w:tcPr>
                      <w:p w:rsidR="00142961" w:rsidRP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מינהלית</w:t>
                        </w:r>
                      </w:p>
                    </w:tc>
                  </w:tr>
                  <w:tr w:rsidR="00142961" w:rsidRPr="00142961">
                    <w:trPr>
                      <w:jc w:val="right"/>
                    </w:trPr>
                    <w:tc>
                      <w:tcPr>
                        <w:tcW w:w="3994" w:type="pct"/>
                      </w:tcPr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12ג. על אף האמור בסעיף 15 ובבל חוק אחר, שר המשטרה ממונה</w:t>
                        </w:r>
                      </w:p>
                      <w:p w:rsid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 סעיפים 12א ו-12ב."</w:t>
                        </w:r>
                      </w:p>
                    </w:tc>
                    <w:tc>
                      <w:tcPr>
                        <w:tcW w:w="1006" w:type="pct"/>
                      </w:tcPr>
                      <w:p w:rsidR="00142961" w:rsidRPr="00142961" w:rsidRDefault="001429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142961" w:rsidRDefault="001429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C7B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98D6D2-2056-4F78-91BB-BDAEF2AB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7BD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4296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2008-04-07T09:50:00Z</dcterms:created>
  <dcterms:modified xsi:type="dcterms:W3CDTF">2008-04-07T09:50:00Z</dcterms:modified>
</cp:coreProperties>
</file>