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4ED9" w:rsidRDefault="00544ED9">
      <w:pPr>
        <w:rPr>
          <w:rtl/>
        </w:rPr>
      </w:pPr>
    </w:p>
    <w:p w:rsidR="00544E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87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870" inset="0,0,0,0">
              <w:txbxContent>
                <w:p w:rsidR="00544ED9" w:rsidRDefault="00544ED9">
                  <w:r>
                    <w:rPr>
                      <w:rtl/>
                    </w:rPr>
                    <w:t>127                                         ספר החוקים 1505                ט"ו באדר א' התשנ"ה 15.02.1995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71" o:spid="_x0000_s1026" type="#_x0000_t202" style="position:absolute;left:0;text-align:left;margin-left:343.75pt;margin-top:729.6pt;width:202.35pt;height:26.55pt;z-index:8;mso-position-horizontal-relative:page;mso-position-vertical-relative:page" stroked="f">
            <v:textbox style="mso-next-textbox:#_x0000_s42871" inset="0,0,0,0">
              <w:txbxContent>
                <w:p w:rsidR="00544ED9" w:rsidRDefault="00544E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872" o:spid="_x0000_s1027" type="#_x0000_t202" style="position:absolute;left:0;text-align:left;margin-left:163.95pt;margin-top:608.05pt;width:384.7pt;height:59.4pt;z-index:7;mso-position-horizontal-relative:page;mso-position-vertical-relative:page" stroked="f">
            <v:textbox style="mso-next-textbox:#_x0000_s42872" inset="0,0,0,0">
              <w:txbxContent>
                <w:p w:rsidR="00544ED9" w:rsidRDefault="00544ED9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א' התשנ"ה (7 בפברואר 1995); הצעות החוק ודברי הסבר פורסמו בהצעות</w:t>
                  </w:r>
                </w:p>
                <w:p w:rsidR="00544ED9" w:rsidRDefault="00544ED9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חוק 2298, מיום י'ז באב התשנ"ד (25 ביולי 1994), עמ' 586, ובהצעות חוק 2326, מיום כ"ה בכסלו התשנ"ה</w:t>
                  </w:r>
                </w:p>
                <w:p w:rsidR="00544ED9" w:rsidRDefault="00544ED9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(28 בנובמבר 1994), עמ' 126.</w:t>
                  </w:r>
                </w:p>
                <w:p w:rsidR="00544ED9" w:rsidRPr="00544ED9" w:rsidRDefault="00544ED9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1 ס"ח התשכ''ה, עמ' 248; התשנ"ד, עמ' 241.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73" o:spid="_x0000_s1028" type="#_x0000_t202" style="position:absolute;left:0;text-align:left;margin-left:182pt;margin-top:522.1pt;width:63.75pt;height:35.25pt;z-index:6;mso-position-horizontal-relative:page;mso-position-vertical-relative:page" stroked="f">
            <v:textbox style="mso-next-textbox:#_x0000_s42873" inset="0,0,0,0">
              <w:txbxContent>
                <w:p w:rsidR="00544ED9" w:rsidRDefault="00544ED9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44ED9" w:rsidRDefault="00544ED9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שר הפנים 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74" o:spid="_x0000_s1029" type="#_x0000_t202" style="position:absolute;left:0;text-align:left;margin-left:277.6pt;margin-top:549.65pt;width:90.3pt;height:35.25pt;z-index:5;mso-position-horizontal-relative:page;mso-position-vertical-relative:page" stroked="f">
            <v:textbox style="mso-next-textbox:#_x0000_s42874" inset="0,0,0,0">
              <w:txbxContent>
                <w:p w:rsidR="00544ED9" w:rsidRDefault="00544ED9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44ED9" w:rsidRDefault="00544ED9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75" o:spid="_x0000_s1030" type="#_x0000_t202" style="position:absolute;left:0;text-align:left;margin-left:373.85pt;margin-top:520.35pt;width:76.65pt;height:39.6pt;z-index:4;mso-position-horizontal-relative:page;mso-position-vertical-relative:page" stroked="f">
            <v:textbox style="mso-next-textbox:#_x0000_s42875" inset="0,0,0,0">
              <w:txbxContent>
                <w:p w:rsidR="00544ED9" w:rsidRDefault="00544ED9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44ED9" w:rsidRDefault="00544ED9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76" o:spid="_x0000_s1031" type="#_x0000_t202" style="position:absolute;left:0;text-align:left;margin-left:461.75pt;margin-top:552.2pt;width:77.4pt;height:35.25pt;z-index:3;mso-position-horizontal-relative:page;mso-position-vertical-relative:page" stroked="f">
            <v:textbox style="mso-next-textbox:#_x0000_s42876" inset="0,0,0,0">
              <w:txbxContent>
                <w:p w:rsidR="00544ED9" w:rsidRDefault="00544ED9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44ED9" w:rsidRDefault="00544ED9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77" o:spid="_x0000_s1032" type="#_x0000_t202" style="position:absolute;left:0;text-align:left;margin-left:95.05pt;margin-top:107.1pt;width:450.25pt;height:409.85pt;z-index:2;mso-position-horizontal-relative:page;mso-position-vertical-relative:page" stroked="f">
            <v:textbox style="mso-next-textbox:#_x0000_s4287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2"/>
                    <w:gridCol w:w="5697"/>
                    <w:gridCol w:w="1328"/>
                  </w:tblGrid>
                  <w:tr w:rsidR="00544ED9" w:rsidRPr="00544ED9">
                    <w:trPr>
                      <w:jc w:val="right"/>
                    </w:trPr>
                    <w:tc>
                      <w:tcPr>
                        <w:tcW w:w="710" w:type="pct"/>
                        <w:vMerge w:val="restart"/>
                      </w:tcPr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544ED9" w:rsidRP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 ו-45ב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544ED9" w:rsidRP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45 לחוק הרשויות המקומיות (בחירות), התשכ"ה-1965 1, יבוא:</w:t>
                        </w:r>
                      </w:p>
                    </w:tc>
                  </w:tr>
                  <w:tr w:rsidR="00544ED9" w:rsidRPr="00544ED9">
                    <w:trPr>
                      <w:jc w:val="right"/>
                    </w:trPr>
                    <w:tc>
                      <w:tcPr>
                        <w:tcW w:w="710" w:type="pct"/>
                        <w:vMerge/>
                      </w:tcPr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9" w:type="pct"/>
                      </w:tcPr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(א) נעשה הסכם בכתב בין סיעות, בין חברי מועצה מסיעות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 או בין חבר מועצה לבין סיעה, בקשר לאחד מאלה: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בחירת ראש רשות מקומית;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הרבבה הסיעתי של מועצת רשות מקומית;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צירוף חברי מועצה אחרי כינון המועצה;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מינוי סגן ראש המועצה,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ימסרו הצדדים את נוסחו המלא למזכיר הרשות המקומית, תוך שלושה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החתימה ולא יאוחר מ-48 שעות לפני יום הבחירות, הצגת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או הצבעת הדחה של חבר מועצה או של ראש רשות, לפי הענין,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והמזכיר ימסור את הנוסח האמור לחברי המועצה תוך 24 שעות מהמועד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נמסר לו ההסכם.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במנין הימים והשעות האמורים בסעיף קטן (א) לא יבואו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ימי מנוחה או שבתון על פי חיקוק.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544ED9" w:rsidRP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הסכמים</w:t>
                        </w:r>
                      </w:p>
                    </w:tc>
                  </w:tr>
                  <w:tr w:rsidR="00544ED9" w:rsidRPr="00544ED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9" w:type="pct"/>
                      </w:tcPr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45ב. (א) מקום שעל פי חוק נתונה סמבות להעביר אדם מתפקידו -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במועצה של רשות מקומית;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בחברה של רשות מקומית;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בבל מפעל, מוסד, קרן או גוף אחר שהרשות המקומית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משתתפת, במישרין או בעקיפין, בהנהלתו או בהונו,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ייעשה הסכם ולא תינתן התחייבות בענין אי העברתו של אותו אדם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מתפקידו.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תינתן ערבות, במישרין או בעקיפין, בכסף, בשווה כסף,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או בבל טובת הנאה אחרת, להבטחת ביצוע הסכם או התחייבות</w:t>
                        </w:r>
                      </w:p>
                      <w:p w:rsid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זה, ולא יהיה תוקף לערבות כאמור."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544ED9" w:rsidRPr="00544ED9" w:rsidRDefault="00544E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להסכם</w:t>
                        </w:r>
                      </w:p>
                    </w:tc>
                  </w:tr>
                </w:tbl>
                <w:p w:rsidR="00544ED9" w:rsidRDefault="00544E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878" o:spid="_x0000_s1033" type="#_x0000_t202" style="position:absolute;left:0;text-align:left;margin-left:182.75pt;margin-top:83.95pt;width:351.25pt;height:22.35pt;z-index:1;mso-position-horizontal-relative:page;mso-position-vertical-relative:page" stroked="f">
            <v:textbox style="mso-next-textbox:#_x0000_s42878" inset="0,0,0,0">
              <w:txbxContent>
                <w:p w:rsidR="00544ED9" w:rsidRPr="00544ED9" w:rsidRDefault="00544ED9">
                  <w:pPr>
                    <w:pStyle w:val="OCRStyle1"/>
                    <w:ind w:left="33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(בחירות) (תיקון מס' 21),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44E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217215-3138-46F3-8707-024F7C3A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4ED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2008-04-07T09:51:00Z</dcterms:created>
  <dcterms:modified xsi:type="dcterms:W3CDTF">2008-04-07T09:51:00Z</dcterms:modified>
</cp:coreProperties>
</file>