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36156" w:rsidRDefault="00936156">
      <w:pPr>
        <w:rPr>
          <w:rtl/>
        </w:rPr>
      </w:pPr>
    </w:p>
    <w:p w:rsidR="0093615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87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2879" inset="0,0,0,0">
              <w:txbxContent>
                <w:p w:rsidR="00C81E4C" w:rsidRDefault="00C81E4C">
                  <w:r>
                    <w:rPr>
                      <w:rtl/>
                    </w:rPr>
                    <w:t>128                                         ספר החוקים 1505                ט"ו באדר א' התשנ"ה 15.02.1995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80" o:spid="_x0000_s1026" type="#_x0000_t202" style="position:absolute;left:0;text-align:left;margin-left:88.05pt;margin-top:667.3pt;width:385.5pt;height:90.5pt;z-index:3;mso-position-horizontal-relative:page;mso-position-vertical-relative:page" stroked="f">
            <v:textbox style="mso-next-textbox:#_x0000_s42880" inset="0,0,0,0">
              <w:txbxContent>
                <w:p w:rsidR="00C81E4C" w:rsidRDefault="00C81E4C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ר באדר א' התשנ''ה (6 בפברואר 1995); הצעת החוק ודברי הסבר פורסמו בהצעות</w:t>
                  </w:r>
                </w:p>
                <w:p w:rsidR="00C81E4C" w:rsidRDefault="00C81E4C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חוק 2355, מיום כ"ב בשבט התשנ"ה (23 בינואר 1995), עמ' 265.</w:t>
                  </w:r>
                </w:p>
                <w:p w:rsidR="00C81E4C" w:rsidRDefault="00C81E4C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1 ס"ח התשכ"ה, עמ' 307.</w:t>
                  </w:r>
                </w:p>
                <w:p w:rsidR="00C81E4C" w:rsidRDefault="00C81E4C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2 ס'ח התשכ''א, עמ' .130</w:t>
                  </w:r>
                </w:p>
                <w:p w:rsidR="00C81E4C" w:rsidRPr="00936156" w:rsidRDefault="00C81E4C">
                  <w:pPr>
                    <w:pStyle w:val="OCRStyle1"/>
                    <w:ind w:left="119"/>
                  </w:pPr>
                  <w:r>
                    <w:rPr>
                      <w:rtl/>
                    </w:rPr>
                    <w:t>5 ס''ח התשנ"ד, עמ' .123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81" o:spid="_x0000_s1027" type="#_x0000_t202" style="position:absolute;left:0;text-align:left;margin-left:88.05pt;margin-top:112.1pt;width:457.95pt;height:551.05pt;z-index:2;mso-position-horizontal-relative:page;mso-position-vertical-relative:page" stroked="f">
            <v:textbox style="mso-next-textbox:#_x0000_s4288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18"/>
                    <w:gridCol w:w="1318"/>
                    <w:gridCol w:w="1293"/>
                  </w:tblGrid>
                  <w:tr w:rsidR="00C81E4C" w:rsidRPr="00936156">
                    <w:trPr>
                      <w:jc w:val="right"/>
                    </w:trPr>
                    <w:tc>
                      <w:tcPr>
                        <w:tcW w:w="4224" w:type="pct"/>
                        <w:gridSpan w:val="2"/>
                      </w:tcPr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התכנון והבניה, התשכ"ה-1965 1, אחרי פרק י' יבוא:</w:t>
                        </w:r>
                      </w:p>
                      <w:p w:rsidR="00C81E4C" w:rsidRPr="00936156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"פרק יו: החלת הוראות חוק זה על מפעלי ים המלח בע''מ</w:t>
                        </w:r>
                      </w:p>
                    </w:tc>
                    <w:tc>
                      <w:tcPr>
                        <w:tcW w:w="776" w:type="pct"/>
                      </w:tcPr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 והבניה -</w:t>
                        </w:r>
                      </w:p>
                      <w:p w:rsidR="00C81E4C" w:rsidRPr="00936156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41</w:t>
                        </w:r>
                      </w:p>
                    </w:tc>
                  </w:tr>
                  <w:tr w:rsidR="00C81E4C">
                    <w:trPr>
                      <w:jc w:val="right"/>
                    </w:trPr>
                    <w:tc>
                      <w:tcPr>
                        <w:tcW w:w="3433" w:type="pct"/>
                      </w:tcPr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255א. בפרק זה -</w:t>
                        </w:r>
                      </w:p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הזכיון" - חוק זכיון ים המלח, התשכ"א-1961 2;</w:t>
                        </w:r>
                      </w:p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"שטר הזכיון" - שטר הזכיון שבתוספת לחוק הזכיון;</w:t>
                        </w:r>
                      </w:p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''בעל הזכיון'' - כהגדרתו בשטר הזכיון ולרבות בעל זכיון משנה;</w:t>
                        </w:r>
                      </w:p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זכיון משנה" - מי שהוענק לו זכיון משנה על פי סעיף 5 לשטר</w:t>
                        </w:r>
                      </w:p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הזכיון;</w:t>
                        </w:r>
                      </w:p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"ים המלח" - כהגדרתו בשטר הזכיון;</w:t>
                        </w:r>
                      </w:p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"קרקעות חכורות" ו"קרקעות שמורות" - כהגדרתן בשטר הזכיון ועל פי</w:t>
                        </w:r>
                      </w:p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גבולותיהן ביום התחילה-,</w:t>
                        </w:r>
                      </w:p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הוראות השעה" - חוק זכיון ים המלח (תכנון ובניה) (הוראות שעה</w:t>
                        </w:r>
                      </w:p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לעבודות מסויימות), התשנ"ד-1994 3;</w:t>
                        </w:r>
                      </w:p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"שטח הזכיוך - כהגדרתו בחוק הוראות השעה;</w:t>
                        </w:r>
                      </w:p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"יום התחילה" - ט"ו באדר א' התשנ"ה (15 בפברואר 1995).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C81E4C" w:rsidRPr="00936156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  <w:tc>
                      <w:tcPr>
                        <w:tcW w:w="776" w:type="pct"/>
                      </w:tcPr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81E4C">
                    <w:trPr>
                      <w:jc w:val="right"/>
                    </w:trPr>
                    <w:tc>
                      <w:tcPr>
                        <w:tcW w:w="3433" w:type="pct"/>
                      </w:tcPr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255ב. הוראות חוק זה והתקנות לפיו יחולו על בעל הזכיון בשטח הזכיין,</w:t>
                        </w:r>
                      </w:p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בכפוף לחוק הוראות השעה ולהוראות פרק זה.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להחלת</w:t>
                        </w:r>
                      </w:p>
                      <w:p w:rsidR="00C81E4C" w:rsidRPr="00936156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</w:t>
                        </w:r>
                      </w:p>
                    </w:tc>
                    <w:tc>
                      <w:tcPr>
                        <w:tcW w:w="776" w:type="pct"/>
                      </w:tcPr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81E4C">
                    <w:trPr>
                      <w:jc w:val="right"/>
                    </w:trPr>
                    <w:tc>
                      <w:tcPr>
                        <w:tcW w:w="3433" w:type="pct"/>
                      </w:tcPr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255ג. (א) מוסד התכנון ידון ויחליט בתכנית או בבקשה להיתר שענינה</w:t>
                        </w:r>
                      </w:p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הקרקעות החבורות או ים המלח ויאפשר לבעל הזכיון לפעול על פי</w:t>
                        </w:r>
                      </w:p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חוק הזכיון ושטר הזכיון ולממש זכויות על פיהם; החלטת מוסד</w:t>
                        </w:r>
                      </w:p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התכנון תונחה על פי שיקולים תכנוניים הנובעים מהוראות החוק</w:t>
                        </w:r>
                      </w:p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והתקנות והוא רשאי להתנות תנאים סבירים, בנסיבות הענין, כדי למנוע</w:t>
                        </w:r>
                      </w:p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פגיעה בסביבה ומפגעים בריאותיים.</w:t>
                        </w:r>
                      </w:p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מוסד תכנון רשאי לסרב לאשר תבנית או בקשה להיתר רק</w:t>
                        </w:r>
                      </w:p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כאשר אין בהתנאת תנאים כאמור כרי למנוע פגיעה מהותית בסביבה או</w:t>
                        </w:r>
                      </w:p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יצירת מפגעים בריאותיים חמורים; ואולם מוסד התכנון לא יסרב לאשר</w:t>
                        </w:r>
                      </w:p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או בקשה להיתר כאמור אם סירוב ימנע מבעל הזכיון אפשרות</w:t>
                        </w:r>
                      </w:p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סבירה לממש את הוראות חוק הזכיון ושטר הזכיון.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מוסד</w:t>
                        </w:r>
                      </w:p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תכנון לענין</w:t>
                        </w:r>
                      </w:p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ים המלח</w:t>
                        </w:r>
                      </w:p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והקרקעות</w:t>
                        </w:r>
                      </w:p>
                      <w:p w:rsidR="00C81E4C" w:rsidRPr="00936156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החבורות</w:t>
                        </w:r>
                      </w:p>
                    </w:tc>
                    <w:tc>
                      <w:tcPr>
                        <w:tcW w:w="776" w:type="pct"/>
                      </w:tcPr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81E4C">
                    <w:trPr>
                      <w:jc w:val="right"/>
                    </w:trPr>
                    <w:tc>
                      <w:tcPr>
                        <w:tcW w:w="3433" w:type="pct"/>
                      </w:tcPr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255ד. לענין שטח ים המלח, צפונית לקו רוחב 063, ישקול מוסד תכנון גם</w:t>
                        </w:r>
                      </w:p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צורכיהם של מיזמים תיירותיים.</w:t>
                        </w:r>
                      </w:p>
                    </w:tc>
                    <w:tc>
                      <w:tcPr>
                        <w:tcW w:w="791" w:type="pct"/>
                      </w:tcPr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מיזמים תיירותיים</w:t>
                        </w:r>
                      </w:p>
                      <w:p w:rsidR="00C81E4C" w:rsidRPr="00936156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בשטח ים המלח</w:t>
                        </w:r>
                      </w:p>
                    </w:tc>
                    <w:tc>
                      <w:tcPr>
                        <w:tcW w:w="776" w:type="pct"/>
                      </w:tcPr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81E4C">
                    <w:trPr>
                      <w:jc w:val="right"/>
                    </w:trPr>
                    <w:tc>
                      <w:tcPr>
                        <w:tcW w:w="3433" w:type="pct"/>
                      </w:tcPr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255ה. מוסד תכנון ירון ויחליט בתכנית או בבקשה להיתר, שענינן</w:t>
                        </w:r>
                      </w:p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הקרקעות השמורות, במגמה לאפשר לבעל הזכיון לפעול על פי הוראות</w:t>
                        </w:r>
                      </w:p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הזכיון ושטר הזכיון ולממש זכויות על פיהם; החלטת מוסד התכנון</w:t>
                        </w:r>
                      </w:p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תונחה על פי שיקולים תכנוניים הנובעים מהוראות החוק והתקנות תוך</w:t>
                        </w:r>
                      </w:p>
                    </w:tc>
                    <w:tc>
                      <w:tcPr>
                        <w:tcW w:w="791" w:type="pct"/>
                      </w:tcPr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מוסד</w:t>
                        </w:r>
                      </w:p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תכנון לענין</w:t>
                        </w:r>
                      </w:p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הקרקעות</w:t>
                        </w:r>
                      </w:p>
                      <w:p w:rsidR="00C81E4C" w:rsidRPr="00936156" w:rsidRDefault="00C81E4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השמורות</w:t>
                        </w:r>
                      </w:p>
                    </w:tc>
                    <w:tc>
                      <w:tcPr>
                        <w:tcW w:w="776" w:type="pct"/>
                      </w:tcPr>
                      <w:p w:rsidR="00C81E4C" w:rsidRDefault="00C81E4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81E4C" w:rsidRDefault="00C81E4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882" o:spid="_x0000_s1028" type="#_x0000_t202" style="position:absolute;left:0;text-align:left;margin-left:151.6pt;margin-top:87.15pt;width:284.15pt;height:21.6pt;z-index:1;mso-position-horizontal-relative:page;mso-position-vertical-relative:page" stroked="f">
            <v:textbox style="mso-next-textbox:#_x0000_s42882" inset="0,0,0,0">
              <w:txbxContent>
                <w:p w:rsidR="00C81E4C" w:rsidRPr="00936156" w:rsidRDefault="00C81E4C">
                  <w:pPr>
                    <w:pStyle w:val="OCRStyle1"/>
                    <w:ind w:left="36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זכיון ים המלח (תיקוני חקיקה), התשנ"ה-1995*</w:t>
                  </w:r>
                </w:p>
              </w:txbxContent>
            </v:textbox>
            <w10:wrap anchorx="page" anchory="page"/>
          </v:shape>
        </w:pict>
      </w:r>
    </w:p>
    <w:p w:rsidR="00F97C44" w:rsidRDefault="00F97C44">
      <w:pPr>
        <w:rPr>
          <w:rtl/>
        </w:rPr>
      </w:pPr>
      <w:r>
        <w:rPr>
          <w:rtl/>
        </w:rPr>
        <w:br w:type="page"/>
      </w:r>
    </w:p>
    <w:p w:rsidR="00F97C44" w:rsidRDefault="00000000">
      <w:pPr>
        <w:rPr>
          <w:rtl/>
        </w:rPr>
      </w:pPr>
      <w:r>
        <w:pict>
          <v:shape id="_x0000_s4288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2883" inset="0,0,0,0">
              <w:txbxContent>
                <w:p w:rsidR="00C81E4C" w:rsidRDefault="00C81E4C">
                  <w:r>
                    <w:rPr>
                      <w:rtl/>
                    </w:rPr>
                    <w:t>129                                         ספר החוקים 1505                ט"ו באדר א' התשנ"ה 15.02.1995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84" o:spid="_x0000_s1030" type="#_x0000_t202" style="position:absolute;left:0;text-align:left;margin-left:327.65pt;margin-top:690.4pt;width:224.75pt;height:66.35pt;z-index:6;mso-position-horizontal-relative:page;mso-position-vertical-relative:page" stroked="f">
            <v:textbox style="mso-next-textbox:#_x0000_s42884" inset="0,0,0,0">
              <w:txbxContent>
                <w:p w:rsidR="00C81E4C" w:rsidRDefault="00C81E4C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4 ס"ח התשנ''ב, עמ' 230.</w:t>
                  </w:r>
                </w:p>
                <w:p w:rsidR="00C81E4C" w:rsidRPr="00F97C44" w:rsidRDefault="00C81E4C">
                  <w:pPr>
                    <w:pStyle w:val="OCRStyle2"/>
                    <w:ind w:left="191"/>
                  </w:pPr>
                  <w:r>
                    <w:rPr>
                      <w:rtl/>
                    </w:rPr>
                    <w:t>5 ס"ח התשכ''ח, עמ' .204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85" o:spid="_x0000_s1031" type="#_x0000_t202" style="position:absolute;left:0;text-align:left;margin-left:106.5pt;margin-top:74.8pt;width:445.9pt;height:586.3pt;z-index:5;mso-position-horizontal-relative:page;mso-position-vertical-relative:page" stroked="f">
            <v:textbox style="mso-next-textbox:#_x0000_s42885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09"/>
                    <w:gridCol w:w="5638"/>
                    <w:gridCol w:w="1361"/>
                  </w:tblGrid>
                  <w:tr w:rsidR="00C81E4C" w:rsidRPr="00F97C44">
                    <w:trPr>
                      <w:jc w:val="right"/>
                    </w:trPr>
                    <w:tc>
                      <w:tcPr>
                        <w:tcW w:w="684" w:type="pct"/>
                      </w:tcPr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7" w:type="pct"/>
                      </w:tcPr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שמירה על איכות נאותה של הסביבה ומניעת מפגעים בריאותיים</w:t>
                        </w:r>
                      </w:p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וסביבתיים.</w:t>
                        </w:r>
                      </w:p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255ו. פרקים ח 1 ו-ט לא יחולו על בעל הזכיון בשטח הזכיון.</w:t>
                        </w:r>
                      </w:p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255ז. (א) ביקש בעל הזכיון מרשות הגנים הלאומיים או מרשות</w:t>
                        </w:r>
                      </w:p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שמורות הטבע היתר, על פי חוק גנים לאומיים, שמורות טבע, אתרים</w:t>
                        </w:r>
                      </w:p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לאומיים ואתרי הנצחה, התשנ"ב-41992, לביצוע עבודה בקרקעות</w:t>
                        </w:r>
                      </w:p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שמורות שיועדו או שהוכרזו כגן לאומי או כשמורת טבע, וזו סירבה</w:t>
                        </w:r>
                      </w:p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לבקשתו, רשאי בעל הזכיון לערור על ההחלטה לפני ועדת משנה של</w:t>
                        </w:r>
                      </w:p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הארצית שהרכבה - יושב ראש המועצה הארצית ונציגי שר</w:t>
                        </w:r>
                      </w:p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התעשיה והמסחר והשר לאיכות הסביבה במועצה הארצית-, החלטת</w:t>
                        </w:r>
                      </w:p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הוועדה תינתן תוך 30 ימים וכל אחד מהצדדים רשאי לערור עליה לפני</w:t>
                        </w:r>
                      </w:p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תוך 30 ימים מיום ההחלטה.</w:t>
                        </w:r>
                      </w:p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המשנה והממשלה ינחו עצמן בהחלטותיהן בדבר האיזון</w:t>
                        </w:r>
                      </w:p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הראוי בין מטרות הזכיון לבין האפשרות של פגיעה מהותית בערכי טבע</w:t>
                        </w:r>
                      </w:p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ונוף."</w:t>
                        </w:r>
                      </w:p>
                    </w:tc>
                    <w:tc>
                      <w:tcPr>
                        <w:tcW w:w="839" w:type="pct"/>
                      </w:tcPr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תחולת</w:t>
                        </w:r>
                      </w:p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פרקים ח1 ו-ט</w:t>
                        </w:r>
                      </w:p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לענין</w:t>
                        </w:r>
                      </w:p>
                      <w:p w:rsidR="00C81E4C" w:rsidRPr="00F97C44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היתר</w:t>
                        </w:r>
                      </w:p>
                    </w:tc>
                  </w:tr>
                  <w:tr w:rsidR="00C81E4C" w:rsidRPr="00F97C44">
                    <w:trPr>
                      <w:jc w:val="right"/>
                    </w:trPr>
                    <w:tc>
                      <w:tcPr>
                        <w:tcW w:w="684" w:type="pct"/>
                        <w:vMerge w:val="restart"/>
                      </w:tcPr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רישוי עסקים -</w:t>
                        </w:r>
                      </w:p>
                      <w:p w:rsidR="00C81E4C" w:rsidRPr="00F97C44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12</w:t>
                        </w:r>
                      </w:p>
                    </w:tc>
                    <w:tc>
                      <w:tcPr>
                        <w:tcW w:w="4316" w:type="pct"/>
                        <w:gridSpan w:val="2"/>
                      </w:tcPr>
                      <w:p w:rsidR="00C81E4C" w:rsidRPr="00F97C44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3 לחוק רישוי עסקים, התשכ"ח-1968 5, יבוא:</w:t>
                        </w:r>
                      </w:p>
                    </w:tc>
                  </w:tr>
                  <w:tr w:rsidR="00C81E4C" w:rsidRPr="00F97C44">
                    <w:trPr>
                      <w:jc w:val="right"/>
                    </w:trPr>
                    <w:tc>
                      <w:tcPr>
                        <w:tcW w:w="684" w:type="pct"/>
                        <w:vMerge/>
                      </w:tcPr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7" w:type="pct"/>
                      </w:tcPr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(א) בחוק זה -</w:t>
                        </w:r>
                      </w:p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הזכיון", "בעל זכיון משנה", "חוק הזכיון", "יום התחילה", "שטח</w:t>
                        </w:r>
                      </w:p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הזכיון" ו"שטר הזכיון" - כהגדרתם בסעיף 255א לחוק התכנון והבניה,</w:t>
                        </w:r>
                      </w:p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התשכ"ה-1965;</w:t>
                        </w:r>
                      </w:p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"העבודות" - כהגדרתן בחוק זכיון ים המלח (תכנון ובניה) (הוראות שעה</w:t>
                        </w:r>
                      </w:p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לעבודות מסוימות), התשנ"ד-1994.</w:t>
                        </w:r>
                      </w:p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חוק זה, יראו את העסקים טעוני הרישוי של</w:t>
                        </w:r>
                      </w:p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 הזכיון, הקיימים ביום התחילה, וכן את עסקי העבודות, בעסקים</w:t>
                        </w:r>
                      </w:p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לגביהם רשיון עסק על פי חוק זה.</w:t>
                        </w:r>
                      </w:p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דין רשיון על פי סעיף קטן (ב) כדין רשיון שניתן על ידי רשות</w:t>
                        </w:r>
                      </w:p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הרישוי על פי חוק זה.</w:t>
                        </w:r>
                      </w:p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רשות הרישוי או נותן אישור על פי סעיף 6, רשאים לקבוע</w:t>
                        </w:r>
                      </w:p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תנאים מיוחדים לרשיון על פי סעיף קטן (ב); תנאים שייקבעו תוך שלוש</w:t>
                        </w:r>
                      </w:p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מיום התחילה, ולגבי עסקי העבודות תוך שש שנים מיום התחילה,</w:t>
                        </w:r>
                      </w:p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אותם כתנאים ברשיון.</w:t>
                        </w:r>
                      </w:p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תנאי שייקבע לאחר שלוש או שש השנים האמורות בסעיף</w:t>
                        </w:r>
                      </w:p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(ד), לפי הענין, יראו אותו בתנאי נוסף כמשמעותו בסעיף 7.</w:t>
                        </w:r>
                      </w:p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לא יוצא צו הפסקה מינהלי לפי סעיף 20, נגד בעל הזכיון בענין</w:t>
                        </w:r>
                      </w:p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 הטעון רישוי בשטח הזביון אלא אם כן אושרה הוצאתו על ידי</w:t>
                        </w:r>
                      </w:p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 או ועדת שרים מטעמה."</w:t>
                        </w:r>
                      </w:p>
                    </w:tc>
                    <w:tc>
                      <w:tcPr>
                        <w:tcW w:w="839" w:type="pct"/>
                      </w:tcPr>
                      <w:p w:rsidR="00C81E4C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"הוראות לענין</w:t>
                        </w:r>
                      </w:p>
                      <w:p w:rsidR="00C81E4C" w:rsidRPr="00F97C44" w:rsidRDefault="00C81E4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מפעלי ים המלח</w:t>
                        </w:r>
                      </w:p>
                    </w:tc>
                  </w:tr>
                </w:tbl>
                <w:p w:rsidR="00C81E4C" w:rsidRDefault="00C81E4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81E4C" w:rsidRDefault="00C81E4C">
      <w:pPr>
        <w:rPr>
          <w:rtl/>
        </w:rPr>
      </w:pPr>
      <w:r>
        <w:rPr>
          <w:rtl/>
        </w:rPr>
        <w:br w:type="page"/>
      </w:r>
    </w:p>
    <w:p w:rsidR="00C81E4C" w:rsidRDefault="00000000">
      <w:pPr>
        <w:rPr>
          <w:rtl/>
        </w:rPr>
      </w:pPr>
      <w:r>
        <w:pict>
          <v:shape id="_x0000_s42886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2886" inset="0,0,0,0">
              <w:txbxContent>
                <w:p w:rsidR="00C81E4C" w:rsidRDefault="00C81E4C">
                  <w:r>
                    <w:rPr>
                      <w:rtl/>
                    </w:rPr>
                    <w:t>130                                         ספר החוקים 1505                ט"ו באדר א' התשנ"ה 15.02.1995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87" o:spid="_x0000_s1033" type="#_x0000_t202" style="position:absolute;left:0;text-align:left;margin-left:115.4pt;margin-top:193.95pt;width:64.55pt;height:32.65pt;z-index:12;mso-position-horizontal-relative:page;mso-position-vertical-relative:page" stroked="f">
            <v:textbox style="mso-next-textbox:#_x0000_s42887" inset="0,0,0,0">
              <w:txbxContent>
                <w:p w:rsidR="00C81E4C" w:rsidRDefault="00C81E4C">
                  <w:pPr>
                    <w:pStyle w:val="OCRStyle3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81E4C" w:rsidRDefault="00C81E4C">
                  <w:pPr>
                    <w:pStyle w:val="OCRStyle3"/>
                    <w:ind w:left="198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88" o:spid="_x0000_s1034" type="#_x0000_t202" style="position:absolute;left:0;text-align:left;margin-left:198.15pt;margin-top:220.65pt;width:83.35pt;height:33.65pt;z-index:11;mso-position-horizontal-relative:page;mso-position-vertical-relative:page" stroked="f">
            <v:textbox style="mso-next-textbox:#_x0000_s42888" inset="0,0,0,0">
              <w:txbxContent>
                <w:p w:rsidR="00C81E4C" w:rsidRDefault="00C81E4C">
                  <w:pPr>
                    <w:pStyle w:val="OCRStyle3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C81E4C" w:rsidRDefault="00C81E4C">
                  <w:pPr>
                    <w:pStyle w:val="OCRStyle3"/>
                    <w:ind w:left="7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89" o:spid="_x0000_s1035" type="#_x0000_t202" style="position:absolute;left:0;text-align:left;margin-left:297.95pt;margin-top:193.95pt;width:76.65pt;height:39.6pt;z-index:10;mso-position-horizontal-relative:page;mso-position-vertical-relative:page" stroked="f">
            <v:textbox style="mso-next-textbox:#_x0000_s42889" inset="0,0,0,0">
              <w:txbxContent>
                <w:p w:rsidR="00C81E4C" w:rsidRDefault="00C81E4C">
                  <w:pPr>
                    <w:pStyle w:val="OCRStyle3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81E4C" w:rsidRDefault="00C81E4C">
                  <w:pPr>
                    <w:pStyle w:val="OCRStyle3"/>
                    <w:ind w:left="23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90" o:spid="_x0000_s1036" type="#_x0000_t202" style="position:absolute;left:0;text-align:left;margin-left:388.25pt;margin-top:224.05pt;width:74.05pt;height:31.9pt;z-index:9;mso-position-horizontal-relative:page;mso-position-vertical-relative:page" stroked="f">
            <v:textbox style="mso-next-textbox:#_x0000_s42890" inset="0,0,0,0">
              <w:txbxContent>
                <w:p w:rsidR="00C81E4C" w:rsidRDefault="00C81E4C">
                  <w:pPr>
                    <w:pStyle w:val="OCRStyle3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C81E4C" w:rsidRDefault="00C81E4C">
                  <w:pPr>
                    <w:pStyle w:val="OCRStyle3"/>
                    <w:ind w:left="20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91" o:spid="_x0000_s1037" type="#_x0000_t202" style="position:absolute;left:0;text-align:left;margin-left:85.3pt;margin-top:80.3pt;width:458.75pt;height:106.7pt;z-index:8;mso-position-horizontal-relative:page;mso-position-vertical-relative:page" stroked="f">
            <v:textbox style="mso-next-textbox:#_x0000_s4289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22"/>
                    <w:gridCol w:w="1219"/>
                  </w:tblGrid>
                  <w:tr w:rsidR="00C81E4C" w:rsidRPr="00C81E4C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C81E4C" w:rsidRDefault="00C81E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בסעיף- 6(ג) לחוק זכיון ים המלח (תכנון ובניה) (הוראות שעה לעבודות מסוימות),</w:t>
                        </w:r>
                      </w:p>
                      <w:p w:rsidR="00C81E4C" w:rsidRDefault="00C81E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התשנ"ד-1994, במקום "תוך 30 ימים מקבלת המידע הראשוני" יבוא 'תוך 90 ימים מיום ט"ו</w:t>
                        </w:r>
                      </w:p>
                      <w:p w:rsidR="00C81E4C" w:rsidRDefault="00C81E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באדר א' התשנ"ה (15 בפברואר 1995)".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C81E4C" w:rsidRDefault="00C81E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C81E4C" w:rsidRPr="00C81E4C" w:rsidRDefault="00C81E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השעה</w:t>
                        </w:r>
                      </w:p>
                    </w:tc>
                  </w:tr>
                  <w:tr w:rsidR="00C81E4C" w:rsidRPr="00C81E4C">
                    <w:trPr>
                      <w:jc w:val="right"/>
                    </w:trPr>
                    <w:tc>
                      <w:tcPr>
                        <w:tcW w:w="4269" w:type="pct"/>
                      </w:tcPr>
                      <w:p w:rsidR="00C81E4C" w:rsidRDefault="00C81E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סעיף 10 לשטר הזכיון שבתוספת לחוק זכיון ים המלח, התשכ"א-ו196, לא יחול על</w:t>
                        </w:r>
                      </w:p>
                      <w:p w:rsidR="00C81E4C" w:rsidRDefault="00C81E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הקרקעות השמורות, ולגביהן, אם פעלה הממשלה להחרמה או לרכישה בדרך של כפיה על</w:t>
                        </w:r>
                      </w:p>
                      <w:p w:rsidR="00C81E4C" w:rsidRPr="00C81E4C" w:rsidRDefault="00C81E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 כל דין, יהיה בעל הזכיון זכאי לפיצוי בשל הנזקים שנגרמו.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C81E4C" w:rsidRDefault="00C81E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לסעיף 10</w:t>
                        </w:r>
                      </w:p>
                      <w:p w:rsidR="00C81E4C" w:rsidRPr="00C81E4C" w:rsidRDefault="00C81E4C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בשטר הזכיון</w:t>
                        </w:r>
                      </w:p>
                    </w:tc>
                  </w:tr>
                </w:tbl>
                <w:p w:rsidR="00C81E4C" w:rsidRDefault="00C81E4C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93615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615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10F44B6-F21D-48CE-B695-8DE54F744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3615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97C44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81E4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2008-04-07T09:51:00Z</dcterms:created>
  <dcterms:modified xsi:type="dcterms:W3CDTF">2008-04-07T09:51:00Z</dcterms:modified>
</cp:coreProperties>
</file>