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6ABE" w:rsidRDefault="00A76ABE">
      <w:pPr>
        <w:rPr>
          <w:rtl/>
        </w:rPr>
      </w:pPr>
    </w:p>
    <w:p w:rsidR="00A76A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0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905" inset="0,0,0,0">
              <w:txbxContent>
                <w:p w:rsidR="00D432F6" w:rsidRDefault="00D432F6">
                  <w:r>
                    <w:rPr>
                      <w:rtl/>
                    </w:rPr>
                    <w:t>110                                         ספר החוקים 1503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06" o:spid="_x0000_s1026" type="#_x0000_t202" style="position:absolute;left:0;text-align:left;margin-left:96.05pt;margin-top:633.25pt;width:390.05pt;height:120.4pt;z-index:3;mso-position-horizontal-relative:page;mso-position-vertical-relative:page" stroked="f">
            <v:textbox style="mso-next-textbox:#_x0000_s42906" inset="0,0,0,0">
              <w:txbxContent>
                <w:p w:rsidR="00D432F6" w:rsidRDefault="00D432F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באדר א' התשנ"ה (ו בפברואר 1995); הצעת החוק ודברי הסבר פורסמו בהצעות</w:t>
                  </w:r>
                </w:p>
                <w:p w:rsidR="00D432F6" w:rsidRDefault="00D432F6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חוק 2351, מיום כיב בשבט התשנ'ה (23 בינואר 1995), עמ' 252.</w:t>
                  </w:r>
                </w:p>
                <w:p w:rsidR="00D432F6" w:rsidRDefault="00D432F6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 כתבי אמנה 1069, כרך 32, עמ' 271.</w:t>
                  </w:r>
                </w:p>
                <w:p w:rsidR="00D432F6" w:rsidRDefault="00D432F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2 ס"ח התשכ"ז, עמ' 136.</w:t>
                  </w:r>
                </w:p>
                <w:p w:rsidR="00D432F6" w:rsidRDefault="00D432F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5 ס"ח התשכ"ח, עמ' .108</w:t>
                  </w:r>
                </w:p>
                <w:p w:rsidR="00D432F6" w:rsidRDefault="00D432F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4 ס''ח התשל"ג, עמ' .88</w:t>
                  </w:r>
                </w:p>
                <w:p w:rsidR="00D432F6" w:rsidRDefault="00D432F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5 ס"ח התשנ"ד, עמ' .156</w:t>
                  </w:r>
                </w:p>
                <w:p w:rsidR="00D432F6" w:rsidRPr="00A76ABE" w:rsidRDefault="00D432F6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* דיני מדינת ישראל, נוסח חדש 15, עמ' .320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07" o:spid="_x0000_s1027" type="#_x0000_t202" style="position:absolute;left:0;text-align:left;margin-left:99.6pt;margin-top:119.25pt;width:457.95pt;height:512.25pt;z-index:2;mso-position-horizontal-relative:page;mso-position-vertical-relative:page" stroked="f">
            <v:textbox style="mso-next-textbox:#_x0000_s429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5"/>
                    <w:gridCol w:w="1174"/>
                  </w:tblGrid>
                  <w:tr w:rsidR="00D432F6" w:rsidRPr="00A76AB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D432F6" w:rsidRDefault="00D432F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חוק זה מטרתו ליישם את חוזה השלום, שנחתם בין מדינת ישראל לבין הממלכה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הירדנית ההאשמית ביום כ"א בחשון התשנ"ה (26 באוקטובר 1994) והמסמכים שנלוו אליו</w:t>
                        </w:r>
                      </w:p>
                      <w:p w:rsidR="00D432F6" w:rsidRPr="00A76ABE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חוזה השלום).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D432F6" w:rsidRPr="00A76ABE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D432F6" w:rsidRPr="00A76AB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D432F6" w:rsidRPr="00A76ABE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רואים את חוזה השלום כבר-תוקף לכל דבר וענין.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תוקפו של</w:t>
                        </w:r>
                      </w:p>
                      <w:p w:rsidR="00D432F6" w:rsidRPr="00A76ABE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השלום</w:t>
                        </w:r>
                      </w:p>
                    </w:tc>
                  </w:tr>
                  <w:tr w:rsidR="00D432F6" w:rsidRPr="00A76AB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באזורים שבתחום הממלכה הירדנית ההאשמית (להלן - ירדן), המתוארים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בתוספת 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 xml:space="preserve"> ובתוספת </w:t>
                        </w:r>
                        <w:r>
                          <w:t>V</w:t>
                        </w:r>
                        <w:r>
                          <w:rPr>
                            <w:rtl/>
                          </w:rPr>
                          <w:t xml:space="preserve"> לנספח 1 לחוזה השלום (להלן - האזורים), ואשר נקבע לגביהם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 מיוחד, כמפורט בסעיף 3 ובנספחים 1(ב) ו-1(ג) לחוזה השלום, יחולו דיני ישראל על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מעשה, מחדל או פעולה אחרת, שעשה תושב ישראל, לרבות תאגיד, או אדם אחר שנכנס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לאזורים מתחום ישראל, והכל בהתאם לאמור בחוזה השלום.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למשטרת ישראל יהיו באזורים, לגבי מי שנזכר בסעיף קטן (א), כל הסמכויות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לה על פי דין, לרבות לצורך עריכת פעולות חקירה או מעצר.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רשות המוסמכת על פי דין בישראל, רשאית להפעיל באזורים את סמכותה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שנזכר בסעיף קטן (א).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בכל דין, רשאי שר הפנים לקבוע בתקנות הוראות בכל הנוגע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ליציאה מישראל לאזורים ולכניסה מהאזורים לישראל.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(א), לא יעביר אדם זבות במקרקעין באזורים למי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אזרח ישראלי או תושב ישראל, אלא אם כן קיבל היתר לכך מהרשויות המוסמכות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בירדן, ובדרך שתיקבע.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הוראותיהם של כל חוק של מסים, כמשמעותו בחוק לתיקון דיני- מסים (חילופי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בין רשויות המס), התשכ"ז-21967, ושל החוקים המפורטים בתוספת, יחולו על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באזורים לגבי מי שנזכר בסעיף קטן (א), לרבות על אזרח ישראלי כהגדרתו בסעיף 3א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[נוסח חדש], כאילו נעשתה בישראל; שר האוצר רשאי, באישור ועדת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לקבוע בצו, סוגי פעולות, עוסקים, נישומים או הכנסות, שלגביהם לא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ההוראות האמורות, כולן או מקצתן, או שיחולו בסייגים ובתיאומים וכן הוראות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כפל מס-, שר האוצר רשאי בצו, באישור כאמור, לשנות את התוספת.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העבודה והרווחה יקבע בצו, לגבי מי שנזכר בסעיף קטן (א), זכויות וחובות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הביטוח הלאומי [נוסח משולב], התשכ"ח-1968 3, ובאישור שר הבריאות - גם לפי</w:t>
                        </w:r>
                      </w:p>
                      <w:p w:rsidR="00D432F6" w:rsidRPr="00A76ABE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מקביל, התשל"ג-1973 4, וחוק ביטוח בריאות ממלכתי, התשנ"ד-1994 5.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היין באזורים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ירדן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שהוחל עליהם</w:t>
                        </w:r>
                      </w:p>
                      <w:p w:rsidR="00D432F6" w:rsidRPr="00A76ABE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משטר מיוחד</w:t>
                        </w:r>
                      </w:p>
                    </w:tc>
                  </w:tr>
                  <w:tr w:rsidR="00D432F6" w:rsidRPr="00A76AB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בפקודת ביטוח רכב מנועי [נוסח חדש], התש''ל-1970 6 -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אחרי הגדרת "האזור" יבוא: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""האזורים" - במשמעותם בחוק יישום חוזה השלום בין מדינת ישראל לבין</w:t>
                        </w:r>
                      </w:p>
                      <w:p w:rsidR="00D432F6" w:rsidRPr="00A76ABE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הממלכה הירדנית ההאשמית, התשנ"ה-1995;";</w:t>
                        </w:r>
                      </w:p>
                    </w:tc>
                    <w:tc>
                      <w:tcPr>
                        <w:tcW w:w="705" w:type="pct"/>
                      </w:tcPr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D432F6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רכב</w:t>
                        </w:r>
                      </w:p>
                      <w:p w:rsidR="00D432F6" w:rsidRPr="00A76ABE" w:rsidRDefault="00D432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 - מס' 6</w:t>
                        </w:r>
                      </w:p>
                    </w:tc>
                  </w:tr>
                </w:tbl>
                <w:p w:rsidR="00D432F6" w:rsidRDefault="00D432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08" o:spid="_x0000_s1028" type="#_x0000_t202" style="position:absolute;left:0;text-align:left;margin-left:102.2pt;margin-top:81.4pt;width:383.9pt;height:31.7pt;z-index:1;mso-position-horizontal-relative:page;mso-position-vertical-relative:page" stroked="f">
            <v:textbox style="mso-next-textbox:#_x0000_s42908" inset="0,0,0,0">
              <w:txbxContent>
                <w:p w:rsidR="00D432F6" w:rsidRDefault="00D432F6">
                  <w:pPr>
                    <w:pStyle w:val="OCRStyle1"/>
                    <w:ind w:left="13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חוזה השלום בין מדינת ישראל לבין הממלכה הירדנית</w:t>
                  </w:r>
                </w:p>
                <w:p w:rsidR="00D432F6" w:rsidRPr="00A76ABE" w:rsidRDefault="00D432F6">
                  <w:pPr>
                    <w:pStyle w:val="OCRStyle1"/>
                    <w:ind w:left="220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ההאשמית, התשנ"ה-1995*</w:t>
                  </w:r>
                </w:p>
              </w:txbxContent>
            </v:textbox>
            <w10:wrap anchorx="page" anchory="page"/>
          </v:shape>
        </w:pict>
      </w:r>
    </w:p>
    <w:p w:rsidR="00D432F6" w:rsidRDefault="00D432F6">
      <w:pPr>
        <w:rPr>
          <w:rtl/>
        </w:rPr>
      </w:pPr>
      <w:r>
        <w:rPr>
          <w:rtl/>
        </w:rPr>
        <w:br w:type="page"/>
      </w:r>
    </w:p>
    <w:p w:rsidR="00D432F6" w:rsidRDefault="00000000">
      <w:pPr>
        <w:rPr>
          <w:rtl/>
        </w:rPr>
      </w:pPr>
      <w:r>
        <w:pict>
          <v:shape id="_x0000_s4290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909" inset="0,0,0,0">
              <w:txbxContent>
                <w:p w:rsidR="00D432F6" w:rsidRDefault="00D432F6">
                  <w:r>
                    <w:rPr>
                      <w:rtl/>
                    </w:rPr>
                    <w:t>111                                         ספר החוקים 1503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0" o:spid="_x0000_s1030" type="#_x0000_t202" style="position:absolute;left:0;text-align:left;margin-left:151.9pt;margin-top:453.65pt;width:85.15pt;height:35.25pt;z-index:10;mso-position-horizontal-relative:page;mso-position-vertical-relative:page" stroked="f">
            <v:textbox style="mso-next-textbox:#_x0000_s42910" inset="0,0,0,0">
              <w:txbxContent>
                <w:p w:rsidR="00D432F6" w:rsidRDefault="00D432F6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432F6" w:rsidRDefault="00D432F6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1" o:spid="_x0000_s1031" type="#_x0000_t202" style="position:absolute;left:0;text-align:left;margin-left:421.4pt;margin-top:487.3pt;width:111.1pt;height:59.4pt;z-index:9;mso-position-horizontal-relative:page;mso-position-vertical-relative:page" stroked="f">
            <v:textbox style="mso-next-textbox:#_x0000_s42911" inset="0,0,0,0">
              <w:txbxContent>
                <w:p w:rsidR="00D432F6" w:rsidRDefault="00D432F6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7 ס''ח התשל''ה, עמ' 234.</w:t>
                  </w:r>
                </w:p>
                <w:p w:rsidR="00D432F6" w:rsidRDefault="00D432F6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8 ס''ח התש"י, עמ' 86.</w:t>
                  </w:r>
                </w:p>
                <w:p w:rsidR="00D432F6" w:rsidRDefault="00D432F6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9 ס''ח התשל''ח, עמ' .108</w:t>
                  </w:r>
                </w:p>
                <w:p w:rsidR="00D432F6" w:rsidRPr="00D432F6" w:rsidRDefault="00D432F6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10 ס''ח התשכ"ח, עמ' 254.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2" o:spid="_x0000_s1032" type="#_x0000_t202" style="position:absolute;left:0;text-align:left;margin-left:293.85pt;margin-top:424.55pt;width:80.2pt;height:40.4pt;z-index:8;mso-position-horizontal-relative:page;mso-position-vertical-relative:page" stroked="f">
            <v:textbox style="mso-next-textbox:#_x0000_s42912" inset="0,0,0,0">
              <w:txbxContent>
                <w:p w:rsidR="00D432F6" w:rsidRDefault="00D432F6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432F6" w:rsidRDefault="00D432F6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3" o:spid="_x0000_s1033" type="#_x0000_t202" style="position:absolute;left:0;text-align:left;margin-left:436.85pt;margin-top:452.85pt;width:77.4pt;height:30.9pt;z-index:7;mso-position-horizontal-relative:page;mso-position-vertical-relative:page" stroked="f">
            <v:textbox style="mso-next-textbox:#_x0000_s42913" inset="0,0,0,0">
              <w:txbxContent>
                <w:p w:rsidR="00D432F6" w:rsidRDefault="00D432F6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432F6" w:rsidRDefault="00D432F6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4" o:spid="_x0000_s1034" type="#_x0000_t202" style="position:absolute;left:0;text-align:left;margin-left:315.45pt;margin-top:351.3pt;width:222.95pt;height:73.05pt;z-index:6;mso-position-horizontal-relative:page;mso-position-vertical-relative:page" stroked="f">
            <v:textbox style="mso-next-textbox:#_x0000_s42914" inset="0,0,0,0">
              <w:txbxContent>
                <w:p w:rsidR="00D432F6" w:rsidRDefault="00D432F6">
                  <w:pPr>
                    <w:pStyle w:val="OCRStyle2"/>
                    <w:ind w:left="320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D432F6" w:rsidRDefault="00D432F6">
                  <w:pPr>
                    <w:pStyle w:val="OCRStyle2"/>
                    <w:ind w:left="3114"/>
                    <w:rPr>
                      <w:rtl/>
                    </w:rPr>
                  </w:pPr>
                  <w:r>
                    <w:rPr>
                      <w:rtl/>
                    </w:rPr>
                    <w:t>(סעיף 3(0)</w:t>
                  </w:r>
                </w:p>
                <w:p w:rsidR="00D432F6" w:rsidRDefault="00D432F6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חוק הפיקוח על המטבע, התשל"ח-91978.</w:t>
                  </w:r>
                </w:p>
                <w:p w:rsidR="00D432F6" w:rsidRPr="00D432F6" w:rsidRDefault="00D432F6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חוק ניירות ערך, התשכ"ח-1968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5" o:spid="_x0000_s1035" type="#_x0000_t202" style="position:absolute;left:0;text-align:left;margin-left:87.35pt;margin-top:67.15pt;width:466.5pt;height:279pt;z-index:5;mso-position-horizontal-relative:page;mso-position-vertical-relative:page" stroked="f">
            <v:textbox style="mso-next-textbox:#_x0000_s429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6"/>
                    <w:gridCol w:w="7195"/>
                  </w:tblGrid>
                  <w:tr w:rsidR="00D432F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ג(ג), אחרי ''בשטחי עזה ויריחו'' יבוא ''או באזורים".</w:t>
                        </w:r>
                      </w:p>
                    </w:tc>
                  </w:tr>
                  <w:tr w:rsidR="00D432F6" w:rsidRPr="00D432F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חוס</w:t>
                        </w:r>
                      </w:p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לנפגעי</w:t>
                        </w:r>
                      </w:p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-</w:t>
                        </w:r>
                      </w:p>
                      <w:p w:rsidR="00D432F6" w:rsidRP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פיצויים לנפגעי תאונות דרכים, התשל"ה-71975 -</w:t>
                        </w:r>
                      </w:p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1, בסופו יבוא:</w:t>
                        </w:r>
                      </w:p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''''האזורים" - כמשמעותם בחוק יישום חוזה השלום בין מדינת ישראל לבין</w:t>
                        </w:r>
                      </w:p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הממלכה הירדנית ההאשמית, התשנ''ה-1995";</w:t>
                        </w:r>
                      </w:p>
                      <w:p w:rsidR="00D432F6" w:rsidRP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2(א1) ו-2ו(ד) ו-(ה), אחרי "בשטחי עזה ויריחו'' יבוא ''או באזורים''.</w:t>
                        </w:r>
                      </w:p>
                    </w:tc>
                  </w:tr>
                  <w:tr w:rsidR="00D432F6" w:rsidRPr="00D432F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432F6" w:rsidRP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אף האמור בחוק נכסי נפקדים, התש"י-950 ו8, החל ביום ד בכסלו התשנ''ה</w:t>
                        </w:r>
                      </w:p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בנובמבר 1994), לא יהא נכס לנכס נפקד בשל כך בלבד שבעל זכות בו היה אזרח או נתין</w:t>
                        </w:r>
                      </w:p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ירדן, או נמצא בירדן לאחר המועד האמור.</w:t>
                        </w:r>
                      </w:p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בהוראת סעיף קטן (א) בדי לשנות את מעמדו של נכס שהיה לנכס נפקד לפי</w:t>
                        </w:r>
                      </w:p>
                      <w:p w:rsidR="00D432F6" w:rsidRP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 לפני המועד הנקוב בסעיף קטן (א).</w:t>
                        </w:r>
                      </w:p>
                    </w:tc>
                  </w:tr>
                  <w:tr w:rsidR="00D432F6" w:rsidRPr="00D432F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432F6" w:rsidRP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ראש הממשלה ממונה על ביצוע חוק זה והוא רשאי להתקין תקנות בכל ענין הנוגע</w:t>
                        </w:r>
                      </w:p>
                      <w:p w:rsidR="00D432F6" w:rsidRP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D432F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432F6" w:rsidRDefault="00D432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חוק זה ביום ז' בכסלו התשנ"ה (10 בנובמבר 1994).</w:t>
                        </w:r>
                      </w:p>
                    </w:tc>
                  </w:tr>
                </w:tbl>
                <w:p w:rsidR="00D432F6" w:rsidRDefault="00D432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76A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F04E98-900D-43C2-9F8A-FCF926D1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6A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432F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2008-04-07T09:49:00Z</dcterms:created>
  <dcterms:modified xsi:type="dcterms:W3CDTF">2008-04-07T09:49:00Z</dcterms:modified>
</cp:coreProperties>
</file>