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0669" w:rsidRDefault="00F30669">
      <w:pPr>
        <w:rPr>
          <w:rtl/>
        </w:rPr>
      </w:pPr>
    </w:p>
    <w:p w:rsidR="00F306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0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050" inset="0,0,0,0">
              <w:txbxContent>
                <w:p w:rsidR="00F30669" w:rsidRDefault="00F30669">
                  <w:r>
                    <w:rPr>
                      <w:rtl/>
                    </w:rPr>
                    <w:t>86                                          ספר החוקים 1415                    י' באדר התשנ"ג 03.03.1993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51" o:spid="_x0000_s1026" type="#_x0000_t202" style="position:absolute;left:0;text-align:left;margin-left:78.05pt;margin-top:595.35pt;width:381.35pt;height:157.4pt;z-index:7;mso-position-horizontal-relative:page;mso-position-vertical-relative:page" stroked="f">
            <v:textbox style="mso-next-textbox:#_x0000_s43051" inset="0,0,0,0">
              <w:txbxContent>
                <w:p w:rsidR="00F30669" w:rsidRDefault="00F30669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כ' באדר התשנ"ג (23 בפברואר 1993), הצעת החוק ודברי הסבר פורסמו כהצעות חוק 2112, מיום</w:t>
                  </w:r>
                </w:p>
                <w:p w:rsidR="00F30669" w:rsidRDefault="00F30669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י"ג באדר אי התשנ"ב (17 בפברואר 1992), עמ' 202.</w:t>
                  </w:r>
                </w:p>
                <w:p w:rsidR="00F30669" w:rsidRDefault="00F30669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7, עמ' 173: ס"ח התשנ"ב, עמ' 72.</w:t>
                  </w:r>
                </w:p>
                <w:p w:rsidR="00F30669" w:rsidRDefault="00F30669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2 ס"ח התשל"ג, עמ' 250: התשל"ד, עמ' .28</w:t>
                  </w:r>
                </w:p>
                <w:p w:rsidR="00F30669" w:rsidRDefault="00F30669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3 ס"ח התשט''ו, עמ' 171: התשל"ה, עמ' 198.</w:t>
                  </w:r>
                </w:p>
                <w:p w:rsidR="00F30669" w:rsidRPr="00F30669" w:rsidRDefault="00F30669">
                  <w:pPr>
                    <w:pStyle w:val="OCRStyle1"/>
                    <w:ind w:left="1037"/>
                  </w:pPr>
                  <w:r>
                    <w:rPr>
                      <w:rtl/>
                    </w:rPr>
                    <w:t xml:space="preserve">0334-2832 </w:t>
                  </w:r>
                  <w:r>
                    <w:t>ISSN</w:t>
                  </w:r>
                  <w:r>
                    <w:rPr>
                      <w:rtl/>
                    </w:rPr>
                    <w:t xml:space="preserve"> סתר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52" o:spid="_x0000_s1027" type="#_x0000_t202" style="position:absolute;left:0;text-align:left;margin-left:89.15pt;margin-top:518.75pt;width:76.65pt;height:35.25pt;z-index:6;mso-position-horizontal-relative:page;mso-position-vertical-relative:page" stroked="f">
            <v:textbox style="mso-next-textbox:#_x0000_s43052" inset="0,0,0,0">
              <w:txbxContent>
                <w:p w:rsidR="00F30669" w:rsidRDefault="00F30669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F30669" w:rsidRDefault="00F30669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53" o:spid="_x0000_s1028" type="#_x0000_t202" style="position:absolute;left:0;text-align:left;margin-left:178.65pt;margin-top:544.5pt;width:86.9pt;height:35.25pt;z-index:5;mso-position-horizontal-relative:page;mso-position-vertical-relative:page" stroked="f">
            <v:textbox style="mso-next-textbox:#_x0000_s43053" inset="0,0,0,0">
              <w:txbxContent>
                <w:p w:rsidR="00F30669" w:rsidRDefault="00F30669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30669" w:rsidRDefault="00F30669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54" o:spid="_x0000_s1029" type="#_x0000_t202" style="position:absolute;left:0;text-align:left;margin-left:287.95pt;margin-top:518.75pt;width:67.3pt;height:29.3pt;z-index:4;mso-position-horizontal-relative:page;mso-position-vertical-relative:page" stroked="f">
            <v:textbox style="mso-next-textbox:#_x0000_s43054" inset="0,0,0,0">
              <w:txbxContent>
                <w:p w:rsidR="00F30669" w:rsidRDefault="00F30669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30669" w:rsidRDefault="00F30669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55" o:spid="_x0000_s1030" type="#_x0000_t202" style="position:absolute;left:0;text-align:left;margin-left:371.5pt;margin-top:542.7pt;width:81pt;height:38.8pt;z-index:3;mso-position-horizontal-relative:page;mso-position-vertical-relative:page" stroked="f">
            <v:textbox style="mso-next-textbox:#_x0000_s43055" inset="0,0,0,0">
              <w:txbxContent>
                <w:p w:rsidR="00F30669" w:rsidRDefault="00F30669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30669" w:rsidRDefault="00F30669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56" o:spid="_x0000_s1031" type="#_x0000_t202" style="position:absolute;left:0;text-align:left;margin-left:73.7pt;margin-top:108.1pt;width:477pt;height:406.3pt;z-index:2;mso-position-horizontal-relative:page;mso-position-vertical-relative:page" stroked="f">
            <v:textbox style="mso-next-textbox:#_x0000_s4305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8"/>
                    <w:gridCol w:w="1493"/>
                  </w:tblGrid>
                  <w:tr w:rsidR="00F30669" w:rsidRPr="00F3066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30669" w:rsidRDefault="00F3066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לפקודת התעבורה1 (להלן - הפקודה) -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"מונית", במקום "שבעה אנשים" יבוא "שמונה אנשים";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"רכב מנועי" יבוא: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""רכב מנועי" - רכב המונע בכוח מיכני מכל צורה שהיא, ולרבות תלת אופנוע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ואופנוע עם רכב צדי או עם גרור או בלעדיהם ולמעט רכב הנגרר על ידי רכב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מנועי:";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"עבירת קנס", הסיפה המתחילה במלים "וכן עבירה על חוק חגורות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 ברכב" - תימחק;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"עבירת תעבורה", הסיפה המתחילה במלים "וכן עבירה על חוק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חגורות בטיחות ברכב" - תימחק-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הגדרת "רשות הרישוי" - יבוא: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""רשות הרישוי" - מי ששר התחבורה מינה אותו להיות מנהל אגף הרישוי או מנהל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הרכב במשרד התחבורה, לרבות מי שאחד מאלה אצל לו מסמכותו כרשות</w:t>
                        </w:r>
                      </w:p>
                      <w:p w:rsidR="00F30669" w:rsidRP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 לשטח המדינה כולה או לחלק ממנו, לענין פלוני או לסוג של עניינים?".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30669" w:rsidRP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30669" w:rsidRPr="00F3066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30669" w:rsidRP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12א(ד) לפקודה, המלים "אפניים או תלת אופן עם מנוע עזר," - יימחקו.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30669" w:rsidRP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12א</w:t>
                        </w:r>
                      </w:p>
                    </w:tc>
                  </w:tr>
                  <w:tr w:rsidR="00F30669" w:rsidRPr="00F3066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70 לפקודה, אחרי פסקה (17ב) יבוא:</w:t>
                        </w:r>
                      </w:p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"(17 ג). חגורות בטיחות והתקני ריסון ברכב, סוגם, החובה להתקינם ולחגרם וכל</w:t>
                        </w:r>
                      </w:p>
                      <w:p w:rsidR="00F30669" w:rsidRP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לשימוש בהם;".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30669" w:rsidRP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F30669" w:rsidRPr="00F3066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30669" w:rsidRP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חגורות בטיחות ברכב, התשל"ג-1973 2 - בטל.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</w:t>
                        </w:r>
                      </w:p>
                      <w:p w:rsidR="00F30669" w:rsidRP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חגורות בטיחות</w:t>
                        </w:r>
                      </w:p>
                    </w:tc>
                  </w:tr>
                  <w:tr w:rsidR="00F30669" w:rsidRPr="00F3066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30669" w:rsidRP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136(ב) לחוק השיפוט הצבאי, התשט"ו-31955, פסקה (1) - תימחק.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30669" w:rsidRP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</w:t>
                        </w:r>
                      </w:p>
                    </w:tc>
                  </w:tr>
                  <w:tr w:rsidR="00F30669" w:rsidRPr="00F3066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F30669" w:rsidRP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תחילתם של סעיפים 3, 4 ו-5 - ששים ימים מיום פרסומו של חוק זה.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30669" w:rsidRPr="00F30669" w:rsidRDefault="00F306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30669" w:rsidRDefault="00F306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057" o:spid="_x0000_s1032" type="#_x0000_t202" style="position:absolute;left:0;text-align:left;margin-left:121.8pt;margin-top:80.55pt;width:298pt;height:22.35pt;z-index:1;mso-position-horizontal-relative:page;mso-position-vertical-relative:page" stroked="f">
            <v:textbox style="mso-next-textbox:#_x0000_s43057" inset="0,0,0,0">
              <w:txbxContent>
                <w:p w:rsidR="00F30669" w:rsidRPr="00F30669" w:rsidRDefault="00F30669">
                  <w:pPr>
                    <w:pStyle w:val="OCRStyle1"/>
                    <w:ind w:left="2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31),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306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DABDFE-5087-4B90-B163-63DFAAD94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066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2008-04-07T08:54:00Z</dcterms:created>
  <dcterms:modified xsi:type="dcterms:W3CDTF">2008-04-07T08:55:00Z</dcterms:modified>
</cp:coreProperties>
</file>