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60466" w:rsidRDefault="00D60466">
      <w:pPr>
        <w:rPr>
          <w:rtl/>
        </w:rPr>
      </w:pPr>
    </w:p>
    <w:p w:rsidR="00D6046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87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3876" inset="0,0,0,0">
              <w:txbxContent>
                <w:p w:rsidR="00D60466" w:rsidRDefault="00D60466">
                  <w:r>
                    <w:rPr>
                      <w:rtl/>
                    </w:rPr>
                    <w:t>186                                         ספר החוקים 1517                  י"א בניסן התשנ"ה 11.04.1995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77" o:spid="_x0000_s1026" type="#_x0000_t202" style="position:absolute;left:0;text-align:left;margin-left:76.3pt;margin-top:663.7pt;width:376.2pt;height:83.55pt;z-index:7;mso-position-horizontal-relative:page;mso-position-vertical-relative:page" stroked="f">
            <v:textbox style="mso-next-textbox:#_x0000_s43877" inset="0,0,0,0">
              <w:txbxContent>
                <w:p w:rsidR="00D60466" w:rsidRDefault="00D60466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>י נתקבל בכנסת ביום ד' בניסן התשנ'ה (4 באפריל 1995); הצעת החוק ודברי הסבר פורסמו בהצעות חוק</w:t>
                  </w:r>
                </w:p>
                <w:p w:rsidR="00D60466" w:rsidRDefault="00D60466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2304, מיום כיח בתשרי התשנ'ה (3 באוקטובר 1994), עמ' 3.</w:t>
                  </w:r>
                </w:p>
                <w:p w:rsidR="00D60466" w:rsidRDefault="00D60466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ס''ח התשכ''ח, עמ' 108; התשנ'ה, עמ' 116; התשנ'ה, עמ' .178</w:t>
                  </w:r>
                </w:p>
                <w:p w:rsidR="00D60466" w:rsidRPr="00D60466" w:rsidRDefault="00D60466">
                  <w:pPr>
                    <w:pStyle w:val="OCRStyle1"/>
                  </w:pPr>
                  <w:r>
                    <w:rPr>
                      <w:rtl/>
                    </w:rPr>
                    <w:t xml:space="preserve"> ס'ח התש"ט, עמ' 13; התשנ"ד, עמ' 45.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78" o:spid="_x0000_s1027" type="#_x0000_t202" style="position:absolute;left:0;text-align:left;margin-left:95.1pt;margin-top:597.35pt;width:107.7pt;height:30.1pt;z-index:6;mso-position-horizontal-relative:page;mso-position-vertical-relative:page" stroked="f">
            <v:textbox style="mso-next-textbox:#_x0000_s43878" inset="0,0,0,0">
              <w:txbxContent>
                <w:p w:rsidR="00D60466" w:rsidRDefault="00D60466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D60466" w:rsidRDefault="00D60466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79" o:spid="_x0000_s1028" type="#_x0000_t202" style="position:absolute;left:0;text-align:left;margin-left:210.55pt;margin-top:624.1pt;width:78.4pt;height:36.25pt;z-index:5;mso-position-horizontal-relative:page;mso-position-vertical-relative:page" stroked="f">
            <v:textbox style="mso-next-textbox:#_x0000_s43879" inset="0,0,0,0">
              <w:txbxContent>
                <w:p w:rsidR="00D60466" w:rsidRDefault="00D60466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D60466" w:rsidRDefault="00D60466">
                  <w:pPr>
                    <w:pStyle w:val="OCRStyle1"/>
                    <w:ind w:left="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80" o:spid="_x0000_s1029" type="#_x0000_t202" style="position:absolute;left:0;text-align:left;margin-left:297.45pt;margin-top:598.35pt;width:75.85pt;height:27.5pt;z-index:4;mso-position-horizontal-relative:page;mso-position-vertical-relative:page" stroked="f">
            <v:textbox style="mso-next-textbox:#_x0000_s43880" inset="0,0,0,0">
              <w:txbxContent>
                <w:p w:rsidR="00D60466" w:rsidRDefault="00D60466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60466" w:rsidRDefault="00D60466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81" o:spid="_x0000_s1030" type="#_x0000_t202" style="position:absolute;left:0;text-align:left;margin-left:380.25pt;margin-top:622.3pt;width:75.65pt;height:31.9pt;z-index:3;mso-position-horizontal-relative:page;mso-position-vertical-relative:page" stroked="f">
            <v:textbox style="mso-next-textbox:#_x0000_s43881" inset="0,0,0,0">
              <w:txbxContent>
                <w:p w:rsidR="00D60466" w:rsidRDefault="00D60466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D60466" w:rsidRDefault="00D60466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82" o:spid="_x0000_s1031" type="#_x0000_t202" style="position:absolute;left:0;text-align:left;margin-left:79.65pt;margin-top:235pt;width:461.55pt;height:359.75pt;z-index:2;mso-position-horizontal-relative:page;mso-position-vertical-relative:page" stroked="f">
            <v:textbox style="mso-next-textbox:#_x0000_s4388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34"/>
                    <w:gridCol w:w="1459"/>
                  </w:tblGrid>
                  <w:tr w:rsidR="00D60466" w:rsidRPr="00D60466">
                    <w:trPr>
                      <w:jc w:val="right"/>
                    </w:trPr>
                    <w:tc>
                      <w:tcPr>
                        <w:tcW w:w="4131" w:type="pct"/>
                      </w:tcPr>
                      <w:p w:rsidR="00D60466" w:rsidRDefault="00D60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27 וא לחוק הביטוח הלאומי [נוסח משולב], התשכ''ח-1968 1(להלן - החוק</w:t>
                        </w:r>
                      </w:p>
                      <w:p w:rsidR="00D60466" w:rsidRDefault="00D60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בפסקה (2) להגדרת "מבוטח" אחרי "[נוסח משולב]'' יבוא ''למעט שירות צבאי לפי</w:t>
                        </w:r>
                      </w:p>
                      <w:p w:rsidR="00D60466" w:rsidRDefault="00D60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התחייבות לשירות קבע);".</w:t>
                        </w:r>
                      </w:p>
                    </w:tc>
                    <w:tc>
                      <w:tcPr>
                        <w:tcW w:w="869" w:type="pct"/>
                      </w:tcPr>
                      <w:p w:rsidR="00D60466" w:rsidRPr="00D60466" w:rsidRDefault="00D60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127א</w:t>
                        </w:r>
                      </w:p>
                    </w:tc>
                  </w:tr>
                  <w:tr w:rsidR="00D60466" w:rsidRPr="00D60466">
                    <w:trPr>
                      <w:jc w:val="right"/>
                    </w:trPr>
                    <w:tc>
                      <w:tcPr>
                        <w:tcW w:w="4131" w:type="pct"/>
                      </w:tcPr>
                      <w:p w:rsidR="00D60466" w:rsidRDefault="00D60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סעיף 127טז1(ו) לחוק העיקרי, בפסקה (ו), המלים ''תוך עשרים ואחד חודשים מיום</w:t>
                        </w:r>
                      </w:p>
                      <w:p w:rsidR="00D60466" w:rsidRPr="00D60466" w:rsidRDefault="00D60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שחרורו משירות סדיר," - יימחקו.</w:t>
                        </w:r>
                      </w:p>
                    </w:tc>
                    <w:tc>
                      <w:tcPr>
                        <w:tcW w:w="869" w:type="pct"/>
                      </w:tcPr>
                      <w:p w:rsidR="00D60466" w:rsidRPr="00D60466" w:rsidRDefault="00D60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127 טז1</w:t>
                        </w:r>
                      </w:p>
                    </w:tc>
                  </w:tr>
                  <w:tr w:rsidR="00D60466" w:rsidRPr="00D60466">
                    <w:trPr>
                      <w:jc w:val="right"/>
                    </w:trPr>
                    <w:tc>
                      <w:tcPr>
                        <w:tcW w:w="4131" w:type="pct"/>
                      </w:tcPr>
                      <w:p w:rsidR="00D60466" w:rsidRPr="00D60466" w:rsidRDefault="00D60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127נב2 לחוק העיקרי - בטל.</w:t>
                        </w:r>
                      </w:p>
                    </w:tc>
                    <w:tc>
                      <w:tcPr>
                        <w:tcW w:w="869" w:type="pct"/>
                      </w:tcPr>
                      <w:p w:rsidR="00D60466" w:rsidRPr="00D60466" w:rsidRDefault="00D60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ביטול סעיף 127נב2</w:t>
                        </w:r>
                      </w:p>
                    </w:tc>
                  </w:tr>
                  <w:tr w:rsidR="00D60466" w:rsidRPr="00D60466">
                    <w:trPr>
                      <w:jc w:val="right"/>
                    </w:trPr>
                    <w:tc>
                      <w:tcPr>
                        <w:tcW w:w="4131" w:type="pct"/>
                      </w:tcPr>
                      <w:p w:rsidR="00D60466" w:rsidRDefault="00D60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169(יב) לחוק העיקרי, בפסקה (1), במקום ''שתחילתה תשעים ימים לפני</w:t>
                        </w:r>
                      </w:p>
                      <w:p w:rsidR="00D60466" w:rsidRPr="00D60466" w:rsidRDefault="00D60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התאריך הקובע" יבוא "שתחילתה בתאריך הקובע''.</w:t>
                        </w:r>
                      </w:p>
                    </w:tc>
                    <w:tc>
                      <w:tcPr>
                        <w:tcW w:w="869" w:type="pct"/>
                      </w:tcPr>
                      <w:p w:rsidR="00D60466" w:rsidRPr="00D60466" w:rsidRDefault="00D60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169</w:t>
                        </w:r>
                      </w:p>
                    </w:tc>
                  </w:tr>
                  <w:tr w:rsidR="00D60466" w:rsidRPr="00D60466">
                    <w:trPr>
                      <w:jc w:val="right"/>
                    </w:trPr>
                    <w:tc>
                      <w:tcPr>
                        <w:tcW w:w="4131" w:type="pct"/>
                      </w:tcPr>
                      <w:p w:rsidR="00D60466" w:rsidRDefault="00D60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230(א) לחוק העיקרי, אחרי פסקה (2) יבוא:</w:t>
                        </w:r>
                      </w:p>
                      <w:p w:rsidR="00D60466" w:rsidRDefault="00D60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של המוסד נגד התובע גימלה או מי שקיבל גימלה או תשלום אחר, לרבות</w:t>
                        </w:r>
                      </w:p>
                      <w:p w:rsidR="00D60466" w:rsidRPr="00D60466" w:rsidRDefault="00D60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גימלה או תשלום אחר ששולמו בטעות או שלא בדין;''.</w:t>
                        </w:r>
                      </w:p>
                    </w:tc>
                    <w:tc>
                      <w:tcPr>
                        <w:tcW w:w="869" w:type="pct"/>
                      </w:tcPr>
                      <w:p w:rsidR="00D60466" w:rsidRPr="00D60466" w:rsidRDefault="00D60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230</w:t>
                        </w:r>
                      </w:p>
                    </w:tc>
                  </w:tr>
                  <w:tr w:rsidR="00D60466" w:rsidRPr="00D60466">
                    <w:trPr>
                      <w:jc w:val="right"/>
                    </w:trPr>
                    <w:tc>
                      <w:tcPr>
                        <w:tcW w:w="4131" w:type="pct"/>
                      </w:tcPr>
                      <w:p w:rsidR="00D60466" w:rsidRDefault="00D60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239(ה) לחוק העיקרי, במקום הרישה יבוא:</w:t>
                        </w:r>
                      </w:p>
                      <w:p w:rsidR="00D60466" w:rsidRDefault="00D60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נעברה עבירה לפי סעיף זה בידי חבר-בני-אדם מאוגד או בלתי מאוגד, ייאשם</w:t>
                        </w:r>
                      </w:p>
                      <w:p w:rsidR="00D60466" w:rsidRDefault="00D60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גם כל אדם אשר בשעת ביצוע העבירה היה בו חבר מינהלה, מנהל, שותף, למעט</w:t>
                        </w:r>
                      </w:p>
                      <w:p w:rsidR="00D60466" w:rsidRDefault="00D60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שותף מוגבל, או עובד האחראי למעשה נושא העבירה, אלא אם כן הוכיח שניים</w:t>
                        </w:r>
                      </w:p>
                      <w:p w:rsidR="00D60466" w:rsidRPr="00D60466" w:rsidRDefault="00D60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אלה-,".</w:t>
                        </w:r>
                      </w:p>
                    </w:tc>
                    <w:tc>
                      <w:tcPr>
                        <w:tcW w:w="869" w:type="pct"/>
                      </w:tcPr>
                      <w:p w:rsidR="00D60466" w:rsidRPr="00D60466" w:rsidRDefault="00D60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239</w:t>
                        </w:r>
                      </w:p>
                    </w:tc>
                  </w:tr>
                  <w:tr w:rsidR="00D60466" w:rsidRPr="00D60466">
                    <w:trPr>
                      <w:jc w:val="right"/>
                    </w:trPr>
                    <w:tc>
                      <w:tcPr>
                        <w:tcW w:w="4131" w:type="pct"/>
                      </w:tcPr>
                      <w:p w:rsidR="00D60466" w:rsidRPr="00D60466" w:rsidRDefault="00D60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סעיף 240 לחוק העיקרי - בטל.</w:t>
                        </w:r>
                      </w:p>
                    </w:tc>
                    <w:tc>
                      <w:tcPr>
                        <w:tcW w:w="869" w:type="pct"/>
                      </w:tcPr>
                      <w:p w:rsidR="00D60466" w:rsidRPr="00D60466" w:rsidRDefault="00D60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240</w:t>
                        </w:r>
                      </w:p>
                    </w:tc>
                  </w:tr>
                  <w:tr w:rsidR="00D60466" w:rsidRPr="00D60466">
                    <w:trPr>
                      <w:jc w:val="right"/>
                    </w:trPr>
                    <w:tc>
                      <w:tcPr>
                        <w:tcW w:w="4131" w:type="pct"/>
                      </w:tcPr>
                      <w:p w:rsidR="00D60466" w:rsidRDefault="00D60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בחוק חיילים משוחררים )החזרה לעבודה(, התש''ט-1949 2, בסעיף 40(ב1)(4), במקום</w:t>
                        </w:r>
                      </w:p>
                      <w:p w:rsidR="00D60466" w:rsidRPr="00D60466" w:rsidRDefault="00D60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"ו-142 לחוק הביטוח הלאומי" יבוא "142 ו-230 לחוק הביטוח הלאומי''.</w:t>
                        </w:r>
                      </w:p>
                    </w:tc>
                    <w:tc>
                      <w:tcPr>
                        <w:tcW w:w="869" w:type="pct"/>
                      </w:tcPr>
                      <w:p w:rsidR="00D60466" w:rsidRDefault="00D60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60466" w:rsidRDefault="00D60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חיילים משוחררים</w:t>
                        </w:r>
                      </w:p>
                      <w:p w:rsidR="00D60466" w:rsidRDefault="00D60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(החזרה לעבודה) -</w:t>
                        </w:r>
                      </w:p>
                      <w:p w:rsidR="00D60466" w:rsidRPr="00D60466" w:rsidRDefault="00D60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10</w:t>
                        </w:r>
                      </w:p>
                    </w:tc>
                  </w:tr>
                </w:tbl>
                <w:p w:rsidR="00D60466" w:rsidRDefault="00D6046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883" o:spid="_x0000_s1032" type="#_x0000_t202" style="position:absolute;left:0;text-align:left;margin-left:121.05pt;margin-top:205.7pt;width:297.8pt;height:23.15pt;z-index:1;mso-position-horizontal-relative:page;mso-position-vertical-relative:page" stroked="f">
            <v:textbox style="mso-next-textbox:#_x0000_s43883" inset="0,0,0,0">
              <w:txbxContent>
                <w:p w:rsidR="00D60466" w:rsidRPr="00D60466" w:rsidRDefault="00D60466">
                  <w:pPr>
                    <w:pStyle w:val="OCRStyle1"/>
                    <w:ind w:left="20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100),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6046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046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F124CBF-38B7-4198-B99A-C20ECDF98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6046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2008-04-07T09:56:00Z</dcterms:created>
  <dcterms:modified xsi:type="dcterms:W3CDTF">2008-04-07T09:56:00Z</dcterms:modified>
</cp:coreProperties>
</file>