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356A7" w:rsidRDefault="00D356A7">
      <w:pPr>
        <w:rPr>
          <w:rtl/>
        </w:rPr>
      </w:pPr>
    </w:p>
    <w:p w:rsidR="00D356A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4012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4012" inset="0,0,0,0">
              <w:txbxContent>
                <w:p w:rsidR="00D356A7" w:rsidRDefault="00D356A7">
                  <w:r>
                    <w:rPr>
                      <w:rtl/>
                    </w:rPr>
                    <w:t>312                                         ספר החוקים 1523                  כ"ה באייר התשנ"ה 25.05.1995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4013" o:spid="_x0000_s1026" type="#_x0000_t202" style="position:absolute;left:0;text-align:left;margin-left:80.5pt;margin-top:695pt;width:217pt;height:44.75pt;z-index:7;mso-position-horizontal-relative:page;mso-position-vertical-relative:page" stroked="f">
            <v:textbox style="mso-next-textbox:#_x0000_s44013" inset="0,0,0,0">
              <w:txbxContent>
                <w:p w:rsidR="00D356A7" w:rsidRDefault="00D356A7">
                  <w:pPr>
                    <w:pStyle w:val="OCRStyle1"/>
                    <w:rPr>
                      <w:rtl/>
                    </w:rPr>
                  </w:pPr>
                </w:p>
                <w:p w:rsidR="00D356A7" w:rsidRDefault="00D356A7">
                  <w:pPr>
                    <w:pStyle w:val="OCRStyle1"/>
                    <w:ind w:left="61"/>
                  </w:pPr>
                  <w:r>
                    <w:rPr>
                      <w:rtl/>
                    </w:rPr>
                    <w:t>סודר בסדר-צילום והודפס במדפיס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4014" o:spid="_x0000_s1027" type="#_x0000_t202" style="position:absolute;left:0;text-align:left;margin-left:82.3pt;margin-top:330.65pt;width:396pt;height:47.5pt;z-index:6;mso-position-horizontal-relative:page;mso-position-vertical-relative:page" stroked="f">
            <v:textbox style="mso-next-textbox:#_x0000_s44014" inset="0,0,0,0">
              <w:txbxContent>
                <w:p w:rsidR="00D356A7" w:rsidRDefault="00D356A7">
                  <w:pPr>
                    <w:pStyle w:val="OCRStyle1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ט"ז באייר התשנ''ח (6 1 במאי 995 ו); הצעת החוק ודברי הסבר פורסמו בהצעות חוק</w:t>
                  </w:r>
                </w:p>
                <w:p w:rsidR="00D356A7" w:rsidRDefault="00D356A7">
                  <w:pPr>
                    <w:pStyle w:val="OCRStyle1"/>
                    <w:ind w:left="551"/>
                    <w:rPr>
                      <w:rtl/>
                    </w:rPr>
                  </w:pPr>
                  <w:r>
                    <w:rPr>
                      <w:rtl/>
                    </w:rPr>
                    <w:t>2559, מיום כ''ג בשבט התשנ''ה (24 בינואר 1995), עמ' 277.</w:t>
                  </w:r>
                </w:p>
                <w:p w:rsidR="00D356A7" w:rsidRPr="00D356A7" w:rsidRDefault="00D356A7">
                  <w:pPr>
                    <w:pStyle w:val="OCRStyle1"/>
                    <w:ind w:left="338"/>
                  </w:pPr>
                  <w:r>
                    <w:rPr>
                      <w:rtl/>
                    </w:rPr>
                    <w:t>1 ס"ח התשי''א, עמ' 228; התשנ"ה, עמ' .124</w:t>
                  </w:r>
                </w:p>
              </w:txbxContent>
            </v:textbox>
            <w10:wrap anchorx="page" anchory="page"/>
          </v:shape>
        </w:pict>
      </w:r>
      <w:r>
        <w:pict>
          <v:shape id="_x0000_s44015" o:spid="_x0000_s1028" type="#_x0000_t202" style="position:absolute;left:0;text-align:left;margin-left:136.95pt;margin-top:278.2pt;width:91.1pt;height:28.3pt;z-index:5;mso-position-horizontal-relative:page;mso-position-vertical-relative:page" stroked="f">
            <v:textbox style="mso-next-textbox:#_x0000_s44015" inset="0,0,0,0">
              <w:txbxContent>
                <w:p w:rsidR="00D356A7" w:rsidRDefault="00D356A7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D356A7" w:rsidRDefault="00D356A7">
                  <w:pPr>
                    <w:pStyle w:val="OCRStyle1"/>
                    <w:ind w:left="2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4016" o:spid="_x0000_s1029" type="#_x0000_t202" style="position:absolute;left:0;text-align:left;margin-left:227.2pt;margin-top:244.55pt;width:98.6pt;height:33.45pt;z-index:4;mso-position-horizontal-relative:page;mso-position-vertical-relative:page" stroked="f">
            <v:textbox style="mso-next-textbox:#_x0000_s44016" inset="0,0,0,0">
              <w:txbxContent>
                <w:p w:rsidR="00D356A7" w:rsidRDefault="00D356A7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D356A7" w:rsidRDefault="00D356A7">
                  <w:pPr>
                    <w:pStyle w:val="OCRStyle1"/>
                    <w:ind w:left="24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017" o:spid="_x0000_s1030" type="#_x0000_t202" style="position:absolute;left:0;text-align:left;margin-left:328.4pt;margin-top:275.6pt;width:89.5pt;height:38pt;z-index:3;mso-position-horizontal-relative:page;mso-position-vertical-relative:page" stroked="f">
            <v:textbox style="mso-next-textbox:#_x0000_s44017" inset="0,0,0,0">
              <w:txbxContent>
                <w:p w:rsidR="00D356A7" w:rsidRDefault="00D356A7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D356A7" w:rsidRDefault="00D356A7">
                  <w:pPr>
                    <w:pStyle w:val="OCRStyle1"/>
                    <w:ind w:left="21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018" o:spid="_x0000_s1031" type="#_x0000_t202" style="position:absolute;left:0;text-align:left;margin-left:84.25pt;margin-top:102.55pt;width:467.85pt;height:141.75pt;z-index:2;mso-position-horizontal-relative:page;mso-position-vertical-relative:page" stroked="f">
            <v:textbox style="mso-next-textbox:#_x0000_s44018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62"/>
                    <w:gridCol w:w="1446"/>
                  </w:tblGrid>
                  <w:tr w:rsidR="00D356A7" w:rsidRPr="00D356A7">
                    <w:trPr>
                      <w:jc w:val="right"/>
                    </w:trPr>
                    <w:tc>
                      <w:tcPr>
                        <w:tcW w:w="4150" w:type="pct"/>
                      </w:tcPr>
                      <w:p w:rsidR="00D356A7" w:rsidRDefault="00D356A7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בסעיף 4 לחוק חסינות חברי הכנסת, זכויותיהם וחובותיהם, התשי''א- 1951 1 (להלן -</w:t>
                        </w:r>
                      </w:p>
                      <w:p w:rsidR="00D356A7" w:rsidRDefault="00D356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העיקרי), אחרי סעיף קטן (א) יבוא:</w:t>
                        </w:r>
                      </w:p>
                      <w:p w:rsidR="00D356A7" w:rsidRDefault="00D356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"(א1) הוראות סעיף קטן (א) לא יחולו על העבירות הבאות:</w:t>
                        </w:r>
                      </w:p>
                      <w:p w:rsidR="00D356A7" w:rsidRDefault="00D356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עבירת תעבורה כהגדרתה בסעיף ו לפקודת התעבורה;</w:t>
                        </w:r>
                      </w:p>
                      <w:p w:rsidR="00D356A7" w:rsidRDefault="00D356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עבירה שנקבעה כעבירת קנס לפי כל חיקוק;</w:t>
                        </w:r>
                      </w:p>
                      <w:p w:rsidR="00D356A7" w:rsidRPr="00D356A7" w:rsidRDefault="00D356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עבירה מינהלית שדינה קנס מינהלי קצוב.''</w:t>
                        </w:r>
                      </w:p>
                    </w:tc>
                    <w:tc>
                      <w:tcPr>
                        <w:tcW w:w="850" w:type="pct"/>
                      </w:tcPr>
                      <w:p w:rsidR="00D356A7" w:rsidRPr="00D356A7" w:rsidRDefault="00D356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</w:t>
                        </w:r>
                      </w:p>
                    </w:tc>
                  </w:tr>
                  <w:tr w:rsidR="00D356A7" w:rsidRPr="00D356A7">
                    <w:trPr>
                      <w:jc w:val="right"/>
                    </w:trPr>
                    <w:tc>
                      <w:tcPr>
                        <w:tcW w:w="4150" w:type="pct"/>
                      </w:tcPr>
                      <w:p w:rsidR="00D356A7" w:rsidRPr="00D356A7" w:rsidRDefault="00D356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סעיפים 5א ו-5ב לחוק העיקרי - בטלים.</w:t>
                        </w:r>
                      </w:p>
                    </w:tc>
                    <w:tc>
                      <w:tcPr>
                        <w:tcW w:w="850" w:type="pct"/>
                      </w:tcPr>
                      <w:p w:rsidR="00D356A7" w:rsidRDefault="00D356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סעיפים</w:t>
                        </w:r>
                      </w:p>
                      <w:p w:rsidR="00D356A7" w:rsidRPr="00D356A7" w:rsidRDefault="00D356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5א ו-5ב</w:t>
                        </w:r>
                      </w:p>
                    </w:tc>
                  </w:tr>
                </w:tbl>
                <w:p w:rsidR="00D356A7" w:rsidRDefault="00D356A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4019" o:spid="_x0000_s1032" type="#_x0000_t202" style="position:absolute;left:0;text-align:left;margin-left:95.15pt;margin-top:62.55pt;width:356.8pt;height:37.4pt;z-index:1;mso-position-horizontal-relative:page;mso-position-vertical-relative:page" stroked="f">
            <v:textbox style="mso-next-textbox:#_x0000_s44019" inset="0,0,0,0">
              <w:txbxContent>
                <w:p w:rsidR="00D356A7" w:rsidRDefault="00D356A7">
                  <w:pPr>
                    <w:pStyle w:val="OCRStyle1"/>
                    <w:ind w:left="324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חסינות חברי הבנסת, זכויותיהם וחובותיהם (תיקון מס' 13),</w:t>
                  </w:r>
                </w:p>
                <w:p w:rsidR="00D356A7" w:rsidRPr="00D356A7" w:rsidRDefault="00D356A7">
                  <w:pPr>
                    <w:pStyle w:val="OCRStyle1"/>
                    <w:ind w:left="2448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התשנ"ה-1995*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D356A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356A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773ECBB-9F72-45DA-ADC1-B2DD20F96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356A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2008-04-07T10:11:00Z</dcterms:created>
  <dcterms:modified xsi:type="dcterms:W3CDTF">2008-04-07T10:11:00Z</dcterms:modified>
</cp:coreProperties>
</file>