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A5ACE" w:rsidRDefault="001A5ACE">
      <w:pPr>
        <w:rPr>
          <w:rtl/>
        </w:rPr>
      </w:pPr>
    </w:p>
    <w:p w:rsidR="001A5A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2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272" inset="0,0,0,0">
              <w:txbxContent>
                <w:p w:rsidR="00A6799E" w:rsidRDefault="00A6799E">
                  <w:r>
                    <w:rPr>
                      <w:rtl/>
                    </w:rPr>
                    <w:t>346                                         ספר החוקים 1532                  י"א בתמוז התשנ"ה 09.07.1995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73" o:spid="_x0000_s1026" type="#_x0000_t202" style="position:absolute;left:0;text-align:left;margin-left:76.75pt;margin-top:672.6pt;width:401.95pt;height:71.3pt;z-index:3;mso-position-horizontal-relative:page;mso-position-vertical-relative:page" stroked="f">
            <v:textbox style="mso-next-textbox:#_x0000_s44273" inset="0,0,0,0">
              <w:txbxContent>
                <w:p w:rsidR="00A6799E" w:rsidRDefault="00A6799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ל' בסיון התשנ"ה (28 ביוני 1995); הצעת החוק ודברי הסבר פורסמו בהצעות חוק</w:t>
                  </w:r>
                </w:p>
                <w:p w:rsidR="00A6799E" w:rsidRDefault="00A6799E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2369, מיום י"ג באדר א' התשנ"ה (13 בפברואר 1995), עמ' 344.</w:t>
                  </w:r>
                </w:p>
                <w:p w:rsidR="00A6799E" w:rsidRPr="001A5ACE" w:rsidRDefault="00A6799E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דיני מדינת ישראל, נוסח חדש 7, עמ' 173; ס"ח התשנ"ה, עמ' 198.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74" o:spid="_x0000_s1027" type="#_x0000_t202" style="position:absolute;left:0;text-align:left;margin-left:81.9pt;margin-top:85.35pt;width:471.85pt;height:587.05pt;z-index:2;mso-position-horizontal-relative:page;mso-position-vertical-relative:page" stroked="f">
            <v:textbox style="mso-next-textbox:#_x0000_s442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4"/>
                    <w:gridCol w:w="760"/>
                    <w:gridCol w:w="1633"/>
                  </w:tblGrid>
                  <w:tr w:rsidR="00A6799E" w:rsidRPr="001A5ACE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6799E" w:rsidRDefault="00A6799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14 לפקודת התעבורה 1 (להלן - הפקודה) -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"(א)(1) מכסת הרשיונות להפעלת מונית אשר יוקצו למבקשים שנתקיימו בהם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14ב, תהיה, בכל שנה, 550 (להלן - המכסה השנתית);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הוצאו במסגרת מכסה שנתית כל הרשיונות להפעלת מונית, תיווסף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הרשיונות שלא הוצאו למכסה השנתית שלאחריה;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התחבורה, באישור ועדת הכלכלה של הכנסת, רשאי להגדיל את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המכסה השנתית לגבי שנה מסוימת; הודעה על הגדלת מכסה שנתית תפורסם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ברשומות.";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 "הודעה על מספר הרשיונות אשר יוקצו לפי סעיף קטן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תפורסם ברשומות.";</w:t>
                        </w:r>
                      </w:p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(ג) - בטל.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  <w:tr w:rsidR="00A6799E" w:rsidRPr="001A5ACE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4וד לפקודה, סעיף קטן (ד) - בטל.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14ד</w:t>
                        </w:r>
                      </w:p>
                    </w:tc>
                  </w:tr>
                  <w:tr w:rsidR="00A6799E" w:rsidRPr="001A5ACE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4וו לפקודה יבוא: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14ו</w:t>
                        </w:r>
                      </w:p>
                    </w:tc>
                  </w:tr>
                  <w:tr w:rsidR="00A6799E">
                    <w:trPr>
                      <w:jc w:val="right"/>
                    </w:trPr>
                    <w:tc>
                      <w:tcPr>
                        <w:tcW w:w="3605" w:type="pct"/>
                      </w:tcPr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ו. (א) בעד מתן רשיון להפעלת מונית, ישלם מקבל הרשיון אגרה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 135 אלף שקלים חדשים; שר התחבורה,בהסכמת שר האוצר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הכלכלה של הכנסת, יקבע כללים לעדכון סכום האגרה.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המעודכן בהתאם לסעיף קטן (א) ייקבע, אחת לשנה, לא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מ-ו3 בדצמבר של בל שנה לגבי השנה שלאחריה; המפקח על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יפרסם ברשומות את סכום האגרה המעודכן לפי אותו סעיף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קטן.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התחבורה, בהסכמת שר האוצר ובאישור ועדת הכלכלה של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לקבוע, לגבי שנת 2000 וכל שנה שלאחריה, אגרה בסכום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נמוך מהסכום שנקבע לפי סעיף קטן (א).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התחבורה, באישור ועדת הכלכלה של הכנסת, יקבע אגרה</w:t>
                        </w:r>
                      </w:p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מתן היתר להעברת רשיון להפעלת מונית.'' '</w:t>
                        </w:r>
                      </w:p>
                    </w:tc>
                    <w:tc>
                      <w:tcPr>
                        <w:tcW w:w="443" w:type="pct"/>
                      </w:tcPr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6799E" w:rsidRPr="001A5ACE">
                    <w:trPr>
                      <w:jc w:val="right"/>
                    </w:trPr>
                    <w:tc>
                      <w:tcPr>
                        <w:tcW w:w="4048" w:type="pct"/>
                        <w:gridSpan w:val="2"/>
                      </w:tcPr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על אף הוראות סעיף 14 לפקודה, מכסת הרשיונות להפעלת מונית לגבי השנים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1993, 1994, 1995 ו-1996 תהיה 2000 רשיונות, למבקשים שנתקיימו בהם, במועד הקובע,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בפסקה (2), לגבי כל אחד מהם, בל אלה: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בעל רשיון בר תוקף לנהיגה במונית שניתן לו לפי הפקודה;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נהג בישראל במונית כעיסוק עיקרי; לענין זה, "עיסוק עיקרי" - עבודה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בנהיגת מוניתי בישראל, במונית הרשומה בישראל, במשך אחת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מהתקופות המפורטות בסעיף קטן (ב), שקדמו למועד הקובע; ''המועד הקובע'' -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שקבע המפקח על התעבורה, בהודעה ברשומות ובשני עיתונים יומיים</w:t>
                        </w:r>
                      </w:p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תפוצה רחבה לפחות. להגשת בקשה לרשיון להפעלת מונית.</w:t>
                        </w:r>
                      </w:p>
                    </w:tc>
                    <w:tc>
                      <w:tcPr>
                        <w:tcW w:w="952" w:type="pct"/>
                      </w:tcPr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A6799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השנים</w:t>
                        </w:r>
                      </w:p>
                      <w:p w:rsidR="00A6799E" w:rsidRPr="001A5ACE" w:rsidRDefault="00A67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 עד 1996</w:t>
                        </w:r>
                      </w:p>
                    </w:tc>
                  </w:tr>
                </w:tbl>
                <w:p w:rsidR="00A6799E" w:rsidRDefault="00A679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75" o:spid="_x0000_s1028" type="#_x0000_t202" style="position:absolute;left:0;text-align:left;margin-left:126.65pt;margin-top:65.55pt;width:294.45pt;height:17.25pt;z-index:1;mso-position-horizontal-relative:page;mso-position-vertical-relative:page" stroked="f">
            <v:textbox style="mso-next-textbox:#_x0000_s44275" inset="0,0,0,0">
              <w:txbxContent>
                <w:p w:rsidR="00A6799E" w:rsidRPr="001A5ACE" w:rsidRDefault="00A6799E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(מסי 38), התשנ"ה-1995*</w:t>
                  </w:r>
                </w:p>
              </w:txbxContent>
            </v:textbox>
            <w10:wrap anchorx="page" anchory="page"/>
          </v:shape>
        </w:pict>
      </w:r>
    </w:p>
    <w:p w:rsidR="00D14501" w:rsidRDefault="00D14501">
      <w:pPr>
        <w:rPr>
          <w:rtl/>
        </w:rPr>
      </w:pPr>
      <w:r>
        <w:rPr>
          <w:rtl/>
        </w:rPr>
        <w:br w:type="page"/>
      </w:r>
    </w:p>
    <w:p w:rsidR="00D14501" w:rsidRDefault="00000000">
      <w:pPr>
        <w:rPr>
          <w:rtl/>
        </w:rPr>
      </w:pPr>
      <w:r>
        <w:pict>
          <v:shape id="_x0000_s442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276" inset="0,0,0,0">
              <w:txbxContent>
                <w:p w:rsidR="00A6799E" w:rsidRDefault="00A6799E">
                  <w:r>
                    <w:rPr>
                      <w:rtl/>
                    </w:rPr>
                    <w:t>347                                         ספר החוקים 1532                  י"א בתמוז התשנ"ה 09.07.1995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77" o:spid="_x0000_s1030" type="#_x0000_t202" style="position:absolute;left:0;text-align:left;margin-left:353.45pt;margin-top:709.75pt;width:202.35pt;height:28.3pt;z-index:6;mso-position-horizontal-relative:page;mso-position-vertical-relative:page" stroked="f">
            <v:textbox style="mso-next-textbox:#_x0000_s44277" inset="0,0,0,0">
              <w:txbxContent>
                <w:p w:rsidR="00A6799E" w:rsidRDefault="00A679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278" o:spid="_x0000_s1031" type="#_x0000_t202" style="position:absolute;left:0;text-align:left;margin-left:150.3pt;margin-top:57.1pt;width:405.5pt;height:642.1pt;z-index:5;mso-position-horizontal-relative:page;mso-position-vertical-relative:page" stroked="f">
            <v:textbox style="mso-next-textbox:#_x0000_s44278" inset="0,0,0,0">
              <w:txbxContent>
                <w:p w:rsidR="00A6799E" w:rsidRDefault="00A6799E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(3) הוא אינו בעל רשיון ולא היה בעל רשיון להפעלת מונית; הוראה זו לא</w:t>
                  </w:r>
                </w:p>
                <w:p w:rsidR="00A6799E" w:rsidRDefault="00A6799E">
                  <w:pPr>
                    <w:pStyle w:val="OCRStyle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תחול -</w:t>
                  </w:r>
                </w:p>
                <w:p w:rsidR="00A6799E" w:rsidRDefault="00A6799E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(א) על מי שהוא הבעל או שהיה הבעל של לא יותר מרשיון אחד</w:t>
                  </w:r>
                </w:p>
                <w:p w:rsidR="00A6799E" w:rsidRDefault="00A6799E">
                  <w:pPr>
                    <w:pStyle w:val="OCRStyle2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להפעלת מונית שהמפקח על התעבורה הוציא על שמו עקב העברת</w:t>
                  </w:r>
                </w:p>
                <w:p w:rsidR="00A6799E" w:rsidRDefault="00A6799E">
                  <w:pPr>
                    <w:pStyle w:val="OCRStyle2"/>
                    <w:ind w:left="1408"/>
                    <w:rPr>
                      <w:rtl/>
                    </w:rPr>
                  </w:pPr>
                  <w:r>
                    <w:rPr>
                      <w:rtl/>
                    </w:rPr>
                    <w:t>בעלות מאדם אחר;</w:t>
                  </w:r>
                </w:p>
                <w:p w:rsidR="00A6799E" w:rsidRDefault="00A6799E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(ב) על מי שקיבל את הבעלות בירושה ממוריש, שהרשיון ניתן לו שלא</w:t>
                  </w:r>
                </w:p>
                <w:p w:rsidR="00A6799E" w:rsidRDefault="00A6799E">
                  <w:pPr>
                    <w:pStyle w:val="OCRStyle2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עקב העברת בעלות מאדם אחר, אם חלקו בבעלות אינו עולה על 25%;</w:t>
                  </w:r>
                </w:p>
                <w:p w:rsidR="00A6799E" w:rsidRDefault="00A6799E">
                  <w:pPr>
                    <w:pStyle w:val="OCRStyle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(4) הוראות סעיף 14ב לפקודה;</w:t>
                  </w:r>
                </w:p>
                <w:p w:rsidR="00A6799E" w:rsidRDefault="00A6799E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(5) הגיש בקשתו עד המועד הקובע; המפקח על התעבורה רשאי לקבוע</w:t>
                  </w:r>
                </w:p>
                <w:p w:rsidR="00A6799E" w:rsidRDefault="00A6799E">
                  <w:pPr>
                    <w:pStyle w:val="OCRStyle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מועדים קובעים שונים לקבוצות מבקשים, בהתאם לתקופת עיסוקם העיקרי</w:t>
                  </w:r>
                </w:p>
                <w:p w:rsidR="00A6799E" w:rsidRDefault="00A6799E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כאמור בסעיף קטן (ב), בהתחשב כמספר הבקשות שהוגשו על ידי מבקשים בכל</w:t>
                  </w:r>
                </w:p>
                <w:p w:rsidR="00A6799E" w:rsidRDefault="00A6799E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קבוצה באמור; נקבעו מועדים שונים - ידווח על כך המפקח על התעבורה</w:t>
                  </w:r>
                </w:p>
                <w:p w:rsidR="00A6799E" w:rsidRDefault="00A6799E">
                  <w:pPr>
                    <w:pStyle w:val="OCRStyle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לועדת הכלכלה של הכנסת.</w:t>
                  </w:r>
                </w:p>
                <w:p w:rsidR="00A6799E" w:rsidRDefault="00A6799E">
                  <w:pPr>
                    <w:pStyle w:val="OCRStyle2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(ב) לענין סעיף קטן (א)(2), תקופת העיסוק העיקרי תהיה אחת התקופות המנויות</w:t>
                  </w:r>
                </w:p>
                <w:p w:rsidR="00A6799E" w:rsidRDefault="00A6799E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להלן, ובכללן 4 שנים לפחות מתוך 5 השנים שקרמו למועד הקובע;</w:t>
                  </w:r>
                </w:p>
                <w:p w:rsidR="00A6799E" w:rsidRDefault="00A6799E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(1) 8 שנים לפחות מתוך 10 השנים שקדמו למועד הקובע;</w:t>
                  </w:r>
                </w:p>
                <w:p w:rsidR="00A6799E" w:rsidRDefault="00A6799E">
                  <w:pPr>
                    <w:pStyle w:val="OCRStyle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(2) 7 שנים לפחות מתוך 9 השנים שקדמו למועד הקובע;</w:t>
                  </w:r>
                </w:p>
                <w:p w:rsidR="00A6799E" w:rsidRDefault="00A6799E">
                  <w:pPr>
                    <w:pStyle w:val="OCRStyle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(3) 6 שנים לפחות מתוך 8 השנים שקדמו למועד הקובע;</w:t>
                  </w:r>
                </w:p>
                <w:p w:rsidR="00A6799E" w:rsidRDefault="00A6799E">
                  <w:pPr>
                    <w:pStyle w:val="OCRStyle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(4) 5 שנים לפחות מתוך 7 השנים שקדמו למועד הקובע;</w:t>
                  </w:r>
                </w:p>
                <w:p w:rsidR="00A6799E" w:rsidRDefault="00A6799E">
                  <w:pPr>
                    <w:pStyle w:val="OCRStyle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(5) 4 שנים לפחות מתוך 5 השנים שקדמו למועד הקובע.</w:t>
                  </w:r>
                </w:p>
                <w:p w:rsidR="00A6799E" w:rsidRDefault="00A6799E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(ג) בהוצאת הרשיונות, במסגרת המכסה לפי סעיף קטן (א), תינתן זכות קדימה</w:t>
                  </w:r>
                </w:p>
                <w:p w:rsidR="00A6799E" w:rsidRDefault="00A6799E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למבקשים שתקופת עיסוקם העיקרי היתה ארוכה יותר, לפי הסדר הקבוע בסעיף קטן (ב).</w:t>
                  </w:r>
                </w:p>
                <w:p w:rsidR="00A6799E" w:rsidRDefault="00A6799E">
                  <w:pPr>
                    <w:pStyle w:val="OCRStyle2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(ד) לא הוצאו עד יום כ"ו בסיון התשנ''ז (1 ביולי 1997) כל הרשיונות במסגרת</w:t>
                  </w:r>
                </w:p>
                <w:p w:rsidR="00A6799E" w:rsidRDefault="00A6799E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המכסה למי שנתקיימו בהם הוראות סעיף קטן (א), יפרסם המפקח על התעבורה, בדרך</w:t>
                  </w:r>
                </w:p>
                <w:p w:rsidR="00A6799E" w:rsidRDefault="00A6799E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האמורה בסעיף קטן (א)(</w:t>
                  </w:r>
                  <w:r>
                    <w:rPr>
                      <w:rtl/>
                    </w:rPr>
                    <w:tab/>
                  </w:r>
                  <w:r>
                    <w:rPr>
                      <w:rtl/>
                    </w:rPr>
                    <w:tab/>
                    <w:t>5), הודעה על יתרת המכסה, ויקבע מועד להגשת בקשה לקבלת</w:t>
                  </w:r>
                </w:p>
                <w:p w:rsidR="00A6799E" w:rsidRDefault="00A6799E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רשיון להפעלת מונית לפי סעיף קטן זה, למבקשים שנתקיימו בהם הוראות סעיף 14ב</w:t>
                  </w:r>
                </w:p>
                <w:p w:rsidR="00A6799E" w:rsidRDefault="00A6799E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לפקודה.</w:t>
                  </w:r>
                </w:p>
                <w:p w:rsidR="00A6799E" w:rsidRDefault="00A6799E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(ה) (ו) הוצאת רשיונות לפי סעיף קטן (ד) לא תגרע מהמכסה שנקבעה לשנים</w:t>
                  </w:r>
                </w:p>
                <w:p w:rsidR="00A6799E" w:rsidRDefault="00A6799E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1993 עד 1996, לגבי מבקשים שנתקיימו בהם הוראות סעיף קטן (א); רשיונות</w:t>
                  </w:r>
                </w:p>
                <w:p w:rsidR="00A6799E" w:rsidRDefault="00A6799E">
                  <w:pPr>
                    <w:pStyle w:val="OCRStyle2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כאמור בסעיף קטן (א) יוצאו במסגרת המכסה הנקובה באותו סעיף קטן, גם</w:t>
                  </w:r>
                </w:p>
                <w:p w:rsidR="00A6799E" w:rsidRDefault="00A6799E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לאחר המועד הנקוב בסעיף קטן (ד), והוראות סעיף זה לא יחולו על הוצאתם.</w:t>
                  </w:r>
                </w:p>
                <w:p w:rsidR="00A6799E" w:rsidRDefault="00A6799E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(2) עלה מספר הרשיונות שניתנו לפי סעיפים קטנים (ד) ו-(ה)(1) על המכסה</w:t>
                  </w:r>
                </w:p>
                <w:p w:rsidR="00A6799E" w:rsidRDefault="00A6799E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הנקובה בסעיף קטן (א), תופחת היתרה מהמכסה השנתית לשנת 1998 ומכל</w:t>
                  </w:r>
                </w:p>
                <w:p w:rsidR="00A6799E" w:rsidRDefault="00A6799E">
                  <w:pPr>
                    <w:pStyle w:val="OCRStyle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שנה שלאחריה, עד לסיומה של היתרה, והמפקח על התעבורה יפרסם הודעה</w:t>
                  </w:r>
                </w:p>
                <w:p w:rsidR="00A6799E" w:rsidRDefault="00A6799E">
                  <w:pPr>
                    <w:pStyle w:val="OCRStyle2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על כך ברשומות.</w:t>
                  </w:r>
                </w:p>
                <w:p w:rsidR="00A6799E" w:rsidRDefault="00A6799E">
                  <w:pPr>
                    <w:pStyle w:val="OCRStyle2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(ו) (0 בעד מתן רשיון להפעלת מונית, שיוציא המפקח על התעבורה למבקש</w:t>
                  </w:r>
                </w:p>
                <w:p w:rsidR="00A6799E" w:rsidRDefault="00A6799E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שנתקיימו בו הוראות סעיף קטן (א), ישלם המבקש אגרה בסכום כדלקמן;</w:t>
                  </w:r>
                </w:p>
                <w:p w:rsidR="00A6799E" w:rsidRDefault="00A6799E">
                  <w:pPr>
                    <w:pStyle w:val="OCRStyle2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)א( אם תקופת עיסוקו העיקרי היתה כאמור בסעיף קטן (ב)(1) - סכום</w:t>
                  </w:r>
                </w:p>
                <w:p w:rsidR="00A6799E" w:rsidRDefault="00A6799E">
                  <w:pPr>
                    <w:pStyle w:val="OCRStyle2"/>
                    <w:ind w:left="1440"/>
                  </w:pPr>
                  <w:r>
                    <w:rPr>
                      <w:rtl/>
                    </w:rPr>
                    <w:t>של 90 אלף שקלים חדשים;</w:t>
                  </w:r>
                </w:p>
              </w:txbxContent>
            </v:textbox>
            <w10:wrap anchorx="page" anchory="page"/>
          </v:shape>
        </w:pict>
      </w:r>
    </w:p>
    <w:p w:rsidR="00A6799E" w:rsidRDefault="00A6799E">
      <w:pPr>
        <w:rPr>
          <w:rtl/>
        </w:rPr>
      </w:pPr>
      <w:r>
        <w:rPr>
          <w:rtl/>
        </w:rPr>
        <w:br w:type="page"/>
      </w:r>
    </w:p>
    <w:p w:rsidR="00A6799E" w:rsidRDefault="00000000">
      <w:pPr>
        <w:rPr>
          <w:rtl/>
        </w:rPr>
      </w:pPr>
      <w:r>
        <w:pict>
          <v:shape id="_x0000_s44279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4279" inset="0,0,0,0">
              <w:txbxContent>
                <w:p w:rsidR="00A6799E" w:rsidRDefault="00A6799E">
                  <w:r>
                    <w:rPr>
                      <w:rtl/>
                    </w:rPr>
                    <w:t>348                                         ספר החוקים 1532                  י"א בתמוז התשנ"ה 09.07.1995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0" o:spid="_x0000_s1033" type="#_x0000_t202" style="position:absolute;left:0;text-align:left;margin-left:75.15pt;margin-top:694.1pt;width:230.65pt;height:43.15pt;z-index:13;mso-position-horizontal-relative:page;mso-position-vertical-relative:page" stroked="f">
            <v:textbox style="mso-next-textbox:#_x0000_s44280" inset="0,0,0,0">
              <w:txbxContent>
                <w:p w:rsidR="00A6799E" w:rsidRDefault="00A679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281" o:spid="_x0000_s1034" type="#_x0000_t202" style="position:absolute;left:0;text-align:left;margin-left:81.3pt;margin-top:363.6pt;width:90.3pt;height:33.45pt;z-index:12;mso-position-horizontal-relative:page;mso-position-vertical-relative:page" stroked="f">
            <v:textbox style="mso-next-textbox:#_x0000_s44281" inset="0,0,0,0">
              <w:txbxContent>
                <w:p w:rsidR="00A6799E" w:rsidRDefault="00A6799E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A6799E" w:rsidRDefault="00A6799E">
                  <w:pPr>
                    <w:pStyle w:val="OCRStyle3"/>
                    <w:ind w:left="28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2" o:spid="_x0000_s1035" type="#_x0000_t202" style="position:absolute;left:0;text-align:left;margin-left:178.5pt;margin-top:391.35pt;width:94.65pt;height:29.9pt;z-index:11;mso-position-horizontal-relative:page;mso-position-vertical-relative:page" stroked="f">
            <v:textbox style="mso-next-textbox:#_x0000_s44282" inset="0,0,0,0">
              <w:txbxContent>
                <w:p w:rsidR="00A6799E" w:rsidRDefault="00A6799E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6799E" w:rsidRDefault="00A6799E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3" o:spid="_x0000_s1036" type="#_x0000_t202" style="position:absolute;left:0;text-align:left;margin-left:364.45pt;margin-top:394.5pt;width:78.4pt;height:31.1pt;z-index:10;mso-position-horizontal-relative:page;mso-position-vertical-relative:page" stroked="f">
            <v:textbox style="mso-next-textbox:#_x0000_s44283" inset="0,0,0,0">
              <w:txbxContent>
                <w:p w:rsidR="00A6799E" w:rsidRDefault="00A6799E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6799E" w:rsidRDefault="00A6799E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4" o:spid="_x0000_s1037" type="#_x0000_t202" style="position:absolute;left:0;text-align:left;margin-left:262.05pt;margin-top:364.4pt;width:110.1pt;height:26.75pt;z-index:9;mso-position-horizontal-relative:page;mso-position-vertical-relative:page" stroked="f">
            <v:textbox style="mso-next-textbox:#_x0000_s44284" inset="0,0,0,0">
              <w:txbxContent>
                <w:p w:rsidR="00A6799E" w:rsidRDefault="00A6799E">
                  <w:pPr>
                    <w:pStyle w:val="OCRStyle3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6799E" w:rsidRDefault="00A6799E">
                  <w:pPr>
                    <w:pStyle w:val="OCRStyle3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85" o:spid="_x0000_s1038" type="#_x0000_t202" style="position:absolute;left:0;text-align:left;margin-left:71.8pt;margin-top:54.55pt;width:470.05pt;height:300.35pt;z-index:8;mso-position-horizontal-relative:page;mso-position-vertical-relative:page" stroked="f">
            <v:textbox style="mso-next-textbox:#_x0000_s442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0"/>
                    <w:gridCol w:w="1256"/>
                  </w:tblGrid>
                  <w:tr w:rsidR="00A6799E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תקופת עיסוקו העיקרי היתה כאמור בסעיף קטן (ב)(2) ער (5) -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 אלף שקלים חדשים;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לקבוע, באישור ועדת הכלכלה של הכנסת. כללים לעדכון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הנקובים בפסקה (1)(א) ו -(ב); עודכנו הסכומים לפי פסקה זו,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יפרסם המפקח על התעבורה הודעה על כך ברשומות.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מתן רשיון להפעלת מונית, שיוציא המפקח על התעבורה למבקש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בו הוראות סעיף קטן (ד), ישלם המבקש בשנת 1997 אגרה בסך 135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שקלים חדשים, ואם ניתן הרשיון לאחר שנת 1997 - בסכום שנקבע לגבי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שבה הוא ניתן כאמור בסעיף 14ו לפקודה, כנוסחו בסעיף 3 לחוק זה.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(0 בנוסף למכסת הרשיונות להפעלת מונית הנקובה בסעיף קטן (א) יוקצו.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השנים האמורות בו, 130 רשיונות להפעלת מונית למבקשים, שנתקיימו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הוראות סעיף 14(ב) לפקודה;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מתן רשיון לפי פסקה (ו) ישלם המבקש אגרה בסכום של 60 אלף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חדשים.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הוראות סעיפים 14א עד 14ה ו-14ז לפקודה, יחולו, בשינויים המחוייבים לפי</w:t>
                        </w:r>
                      </w:p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על הקצאת רשיונות להפעלת מונית לפי סעיף זה.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6799E" w:rsidRPr="00A6799E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תחילתם של סעיפים 1 עד 3 ביום כ''ב בטבת התשנ''ז (1 בינואר 1997).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A6799E" w:rsidRPr="00A6799E" w:rsidRDefault="00A679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6799E" w:rsidRDefault="00A679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A5A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6A9F06-449F-468A-8774-4803849C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A5AC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1450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6799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2008-04-07T10:18:00Z</dcterms:created>
  <dcterms:modified xsi:type="dcterms:W3CDTF">2008-04-07T10:18:00Z</dcterms:modified>
</cp:coreProperties>
</file>