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F6EA6" w:rsidRDefault="00EF6EA6">
      <w:pPr>
        <w:rPr>
          <w:rtl/>
        </w:rPr>
      </w:pPr>
    </w:p>
    <w:p w:rsidR="00EF6EA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29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4293" inset="0,0,0,0">
              <w:txbxContent>
                <w:p w:rsidR="00EF6EA6" w:rsidRDefault="00EF6EA6">
                  <w:r>
                    <w:rPr>
                      <w:rtl/>
                    </w:rPr>
                    <w:t>353                                         ספר החוקים 1533                  כ"א בתמוז התשנ"ה 19.07.1995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94" o:spid="_x0000_s1026" type="#_x0000_t202" style="position:absolute;left:0;text-align:left;margin-left:161.1pt;margin-top:508.9pt;width:377pt;height:50.9pt;z-index:7;mso-position-horizontal-relative:page;mso-position-vertical-relative:page" stroked="f">
            <v:textbox style="mso-next-textbox:#_x0000_s44294" inset="0,0,0,0">
              <w:txbxContent>
                <w:p w:rsidR="00EF6EA6" w:rsidRDefault="00EF6EA6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בתמוז התשנ"ה (11 ביולי 1995); הצעת החוק ודברי הסבר פורסמו בהצעות חוק</w:t>
                  </w:r>
                </w:p>
                <w:p w:rsidR="00EF6EA6" w:rsidRDefault="00EF6EA6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2589, מיום כ"ז באדר ב' התשנ"ה (29 במרס 1995), עמ' 418.</w:t>
                  </w:r>
                </w:p>
                <w:p w:rsidR="00EF6EA6" w:rsidRDefault="00EF6EA6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20 ו; ס''ח התשנ''ה, עמ' .340</w:t>
                  </w:r>
                </w:p>
                <w:p w:rsidR="00EF6EA6" w:rsidRDefault="00EF6EA6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2 ס''ח התשכ'ח, עמ' 108;, התשנ''ה, עמ' .116</w:t>
                  </w:r>
                </w:p>
                <w:p w:rsidR="00EF6EA6" w:rsidRPr="00EF6EA6" w:rsidRDefault="00EF6EA6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1 ס''ח התשנ''ה, עמ' 0ו.2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95" o:spid="_x0000_s1027" type="#_x0000_t202" style="position:absolute;left:0;text-align:left;margin-left:155pt;margin-top:439.2pt;width:134.25pt;height:33.65pt;z-index:6;mso-position-horizontal-relative:page;mso-position-vertical-relative:page" stroked="f">
            <v:textbox style="mso-next-textbox:#_x0000_s44295" inset="0,0,0,0">
              <w:txbxContent>
                <w:p w:rsidR="00EF6EA6" w:rsidRDefault="00EF6EA6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EF6EA6" w:rsidRDefault="00EF6EA6">
                  <w:pPr>
                    <w:pStyle w:val="OCRStyle1"/>
                    <w:ind w:left="72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96" o:spid="_x0000_s1028" type="#_x0000_t202" style="position:absolute;left:0;text-align:left;margin-left:290.2pt;margin-top:469.3pt;width:88.7pt;height:37.05pt;z-index:5;mso-position-horizontal-relative:page;mso-position-vertical-relative:page" stroked="f">
            <v:textbox style="mso-next-textbox:#_x0000_s44296" inset="0,0,0,0">
              <w:txbxContent>
                <w:p w:rsidR="00EF6EA6" w:rsidRDefault="00EF6EA6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F6EA6" w:rsidRDefault="00EF6EA6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97" o:spid="_x0000_s1029" type="#_x0000_t202" style="position:absolute;left:0;text-align:left;margin-left:456.35pt;margin-top:469.3pt;width:77.4pt;height:29.3pt;z-index:4;mso-position-horizontal-relative:page;mso-position-vertical-relative:page" stroked="f">
            <v:textbox style="mso-next-textbox:#_x0000_s44297" inset="0,0,0,0">
              <w:txbxContent>
                <w:p w:rsidR="00EF6EA6" w:rsidRDefault="00EF6EA6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F6EA6" w:rsidRDefault="00EF6EA6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98" o:spid="_x0000_s1030" type="#_x0000_t202" style="position:absolute;left:0;text-align:left;margin-left:372pt;margin-top:446.95pt;width:82.55pt;height:22.35pt;z-index:3;mso-position-horizontal-relative:page;mso-position-vertical-relative:page" stroked="f">
            <v:textbox style="mso-next-textbox:#_x0000_s44298" inset="0,0,0,0">
              <w:txbxContent>
                <w:p w:rsidR="00EF6EA6" w:rsidRDefault="00EF6EA6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F6EA6" w:rsidRDefault="00EF6EA6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99" o:spid="_x0000_s1031" type="#_x0000_t202" style="position:absolute;left:0;text-align:left;margin-left:85.3pt;margin-top:99.25pt;width:467.5pt;height:333.25pt;z-index:2;mso-position-horizontal-relative:page;mso-position-vertical-relative:page" stroked="f">
            <v:textbox style="mso-next-textbox:#_x0000_s4429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3"/>
                    <w:gridCol w:w="7167"/>
                  </w:tblGrid>
                  <w:tr w:rsidR="00EF6EA6" w:rsidRPr="00EF6EA6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F6EA6" w:rsidRP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44 לפקודת מס הכנסה1 (להלן - הפקודה), בסופו יבוא "שר האוצר רשאי</w:t>
                        </w:r>
                      </w:p>
                      <w:p w:rsidR="00EF6EA6" w:rsidRP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בתקנות תנאים לזכאות לזיכוי ממס על פי סעיף זה".</w:t>
                        </w:r>
                      </w:p>
                    </w:tc>
                  </w:tr>
                  <w:tr w:rsidR="00EF6EA6" w:rsidRPr="00EF6EA6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F6EA6" w:rsidRP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45 לפקודה -</w:t>
                        </w:r>
                      </w:p>
                      <w:p w:rsid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האמור בו יסומן (א) ובו, במקום "תובא בחשבון בחישוב המס שלו או של בן זוגו</w:t>
                        </w:r>
                      </w:p>
                      <w:p w:rsid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נקודת זיכוי אחת בשל כל נטול יכולת" יבוא "יובאו בחשבון בחישוב המס שלו או של</w:t>
                        </w:r>
                      </w:p>
                      <w:p w:rsid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 זוגו שתי נקודות זיכוי בשל כל נטול יכולת.";</w:t>
                        </w:r>
                      </w:p>
                      <w:p w:rsid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הוראות סעיף קטן (א), בעד הורה נטול יכולת באמור בסעיף</w:t>
                        </w:r>
                      </w:p>
                      <w:p w:rsid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יינתנו שתי נקודות זיכוי בלבד, בהתאם להודעת ההורה כפי שיקבע</w:t>
                        </w:r>
                      </w:p>
                      <w:p w:rsid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האוצר.</w:t>
                        </w:r>
                      </w:p>
                      <w:p w:rsid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יחיד יהיה זכאי לנקודות הזיכוי על פי סעיף קטן (א) רק אם לא קיבל זיכוי</w:t>
                        </w:r>
                      </w:p>
                      <w:p w:rsid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עבור אותו בן משפחה על פי סעיף 44.</w:t>
                        </w:r>
                      </w:p>
                      <w:p w:rsidR="00EF6EA6" w:rsidRP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 רשאי לקבוע תנאים לזכאות לנקודות זיכוי על פי סעיף זה."</w:t>
                        </w:r>
                      </w:p>
                    </w:tc>
                  </w:tr>
                  <w:tr w:rsidR="00EF6EA6" w:rsidRPr="00EF6EA6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-</w:t>
                        </w:r>
                      </w:p>
                      <w:p w:rsidR="00EF6EA6" w:rsidRP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103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בסעיף 127מח לחוק הביטוח הלאומי [נוסח משולב], התשכ"ח-1968 2, המילים</w:t>
                        </w:r>
                      </w:p>
                      <w:p w:rsid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"כשאין ביכולתו של המבוטח לספק לילדו סידורים אלה" - יימחקו.</w:t>
                        </w:r>
                      </w:p>
                      <w:p w:rsid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222(ב) לחוק הביטוח הלאומי [נוסח משולב], התשנ"ה-1995 3, יתוקן לפי</w:t>
                        </w:r>
                      </w:p>
                      <w:p w:rsidR="00EF6EA6" w:rsidRP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(א).</w:t>
                        </w:r>
                      </w:p>
                    </w:tc>
                  </w:tr>
                  <w:tr w:rsidR="00EF6EA6" w:rsidRPr="00EF6EA6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EF6EA6" w:rsidRP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תחולתו של חוק זה לגבי יחיד שהיה לו בן משפחה נטול יכולת בשנת המס 1995</w:t>
                        </w:r>
                      </w:p>
                      <w:p w:rsidR="00EF6EA6" w:rsidRPr="00EF6EA6" w:rsidRDefault="00EF6E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ואילך.</w:t>
                        </w:r>
                      </w:p>
                    </w:tc>
                  </w:tr>
                </w:tbl>
                <w:p w:rsidR="00EF6EA6" w:rsidRDefault="00EF6EA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300" o:spid="_x0000_s1032" type="#_x0000_t202" style="position:absolute;left:0;text-align:left;margin-left:198.15pt;margin-top:81.25pt;width:301.15pt;height:15.45pt;z-index:1;mso-position-horizontal-relative:page;mso-position-vertical-relative:page" stroked="f">
            <v:textbox style="mso-next-textbox:#_x0000_s44300" inset="0,0,0,0">
              <w:txbxContent>
                <w:p w:rsidR="00EF6EA6" w:rsidRPr="00EF6EA6" w:rsidRDefault="00EF6EA6">
                  <w:pPr>
                    <w:pStyle w:val="OCRStyle1"/>
                    <w:ind w:left="1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(מס' 105),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F6EA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267C61B-F6C5-4533-9B81-11801AD4E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F6EA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2008-04-07T10:20:00Z</dcterms:created>
  <dcterms:modified xsi:type="dcterms:W3CDTF">2008-04-07T10:20:00Z</dcterms:modified>
</cp:coreProperties>
</file>