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4859" w:rsidRDefault="00AE4859">
      <w:pPr>
        <w:rPr>
          <w:rtl/>
        </w:rPr>
      </w:pPr>
    </w:p>
    <w:p w:rsidR="00AE48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37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374" inset="0,0,0,0">
              <w:txbxContent>
                <w:p w:rsidR="00AE4859" w:rsidRDefault="00AE4859">
                  <w:r>
                    <w:rPr>
                      <w:rtl/>
                    </w:rPr>
                    <w:t>371                                         ספר החוקים 1534                  כ"ז בתמוז התשנ"ה 25.07.1995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75" o:spid="_x0000_s1026" type="#_x0000_t202" style="position:absolute;left:0;text-align:left;margin-left:342.75pt;margin-top:715.3pt;width:216.2pt;height:31.9pt;z-index:8;mso-position-horizontal-relative:page;mso-position-vertical-relative:page" stroked="f">
            <v:textbox style="mso-next-textbox:#_x0000_s44375" inset="0,0,0,0">
              <w:txbxContent>
                <w:p w:rsidR="00AE4859" w:rsidRDefault="00AE48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76" o:spid="_x0000_s1027" type="#_x0000_t202" style="position:absolute;left:0;text-align:left;margin-left:153.45pt;margin-top:552.55pt;width:389.85pt;height:46.55pt;z-index:7;mso-position-horizontal-relative:page;mso-position-vertical-relative:page" stroked="f">
            <v:textbox style="mso-next-textbox:#_x0000_s44376" inset="0,0,0,0">
              <w:txbxContent>
                <w:p w:rsidR="00AE4859" w:rsidRDefault="00AE485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 בתמוז התשנ''ה (18 ביולי 1995) הצעת החוק ודברי הסבר פורסמו בהצעות חוק</w:t>
                  </w:r>
                </w:p>
                <w:p w:rsidR="00AE4859" w:rsidRDefault="00AE4859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2409 מיום כ ג בסיון התשנ''ה (21 ביוני 1995) עמ 500</w:t>
                  </w:r>
                </w:p>
                <w:p w:rsidR="00AE4859" w:rsidRDefault="00AE4859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 ס ח התשנ ג עמ 134 התשנ''ד עמ 260</w:t>
                  </w:r>
                </w:p>
                <w:p w:rsidR="00AE4859" w:rsidRPr="00AE4859" w:rsidRDefault="00AE4859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2 ס ח דתשנ ד עמ 33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77" o:spid="_x0000_s1028" type="#_x0000_t202" style="position:absolute;left:0;text-align:left;margin-left:158.6pt;margin-top:470pt;width:113.65pt;height:44.75pt;z-index:6;mso-position-horizontal-relative:page;mso-position-vertical-relative:page" stroked="f">
            <v:textbox style="mso-next-textbox:#_x0000_s44377" inset="0,0,0,0">
              <w:txbxContent>
                <w:p w:rsidR="00AE4859" w:rsidRDefault="00AE4859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AE4859" w:rsidRDefault="00AE4859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78" o:spid="_x0000_s1029" type="#_x0000_t202" style="position:absolute;left:0;text-align:left;margin-left:276.65pt;margin-top:500.1pt;width:81.75pt;height:43.95pt;z-index:5;mso-position-horizontal-relative:page;mso-position-vertical-relative:page" stroked="f">
            <v:textbox style="mso-next-textbox:#_x0000_s44378" inset="0,0,0,0">
              <w:txbxContent>
                <w:p w:rsidR="00AE4859" w:rsidRDefault="00AE4859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E4859" w:rsidRDefault="00AE4859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79" o:spid="_x0000_s1030" type="#_x0000_t202" style="position:absolute;left:0;text-align:left;margin-left:372.05pt;margin-top:470.8pt;width:84.35pt;height:38.8pt;z-index:4;mso-position-horizontal-relative:page;mso-position-vertical-relative:page" stroked="f">
            <v:textbox style="mso-next-textbox:#_x0000_s44379" inset="0,0,0,0">
              <w:txbxContent>
                <w:p w:rsidR="00AE4859" w:rsidRDefault="00AE485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E4859" w:rsidRDefault="00AE4859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80" o:spid="_x0000_s1031" type="#_x0000_t202" style="position:absolute;left:0;text-align:left;margin-left:459.95pt;margin-top:500.1pt;width:74.05pt;height:31.1pt;z-index:3;mso-position-horizontal-relative:page;mso-position-vertical-relative:page" stroked="f">
            <v:textbox style="mso-next-textbox:#_x0000_s44380" inset="0,0,0,0">
              <w:txbxContent>
                <w:p w:rsidR="00AE4859" w:rsidRDefault="00AE485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E4859" w:rsidRDefault="00AE4859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381" o:spid="_x0000_s1032" type="#_x0000_t202" style="position:absolute;left:0;text-align:left;margin-left:96.65pt;margin-top:361.5pt;width:445.1pt;height:104.95pt;z-index:2;mso-position-horizontal-relative:page;mso-position-vertical-relative:page" stroked="f">
            <v:textbox style="mso-next-textbox:#_x0000_s4438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5635"/>
                    <w:gridCol w:w="1203"/>
                  </w:tblGrid>
                  <w:tr w:rsidR="00AE4859" w:rsidRPr="00AE4859">
                    <w:trPr>
                      <w:jc w:val="right"/>
                    </w:trPr>
                    <w:tc>
                      <w:tcPr>
                        <w:tcW w:w="776" w:type="pct"/>
                        <w:vMerge w:val="restart"/>
                      </w:tcPr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מחלה</w:t>
                        </w:r>
                      </w:p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(היעדרות בשל</w:t>
                        </w:r>
                      </w:p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ילד) -</w:t>
                        </w:r>
                      </w:p>
                      <w:p w:rsidR="00AE4859" w:rsidRP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AE4859" w:rsidRP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דמי מחלה (היעדרות בשל מחלת ילד), התשנ''ג - 1993 1, אחרי סעיף 3 יבוא</w:t>
                        </w:r>
                      </w:p>
                    </w:tc>
                  </w:tr>
                  <w:tr w:rsidR="00AE4859" w:rsidRPr="00AE4859">
                    <w:trPr>
                      <w:jc w:val="right"/>
                    </w:trPr>
                    <w:tc>
                      <w:tcPr>
                        <w:tcW w:w="776" w:type="pct"/>
                        <w:vMerge/>
                      </w:tcPr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1" w:type="pct"/>
                      </w:tcPr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3א לענין חוק זה דין המדינה כמעביד כדין כל מעביד אחר " </w:t>
                        </w:r>
                      </w:p>
                    </w:tc>
                    <w:tc>
                      <w:tcPr>
                        <w:tcW w:w="743" w:type="pct"/>
                      </w:tcPr>
                      <w:p w:rsidR="00AE4859" w:rsidRP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AE4859">
                    <w:trPr>
                      <w:jc w:val="right"/>
                    </w:trPr>
                    <w:tc>
                      <w:tcPr>
                        <w:tcW w:w="776" w:type="pct"/>
                        <w:vMerge w:val="restart"/>
                      </w:tcPr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מחלה</w:t>
                        </w:r>
                      </w:p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(היעדרות בשל</w:t>
                        </w:r>
                      </w:p>
                      <w:p w:rsidR="00AE4859" w:rsidRP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הורה)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דמי מחלה (היעדרות בשל מחלת הורה), התשנ"ד-1993 2, אחרי סעיף 4 יבוא</w:t>
                        </w:r>
                      </w:p>
                    </w:tc>
                  </w:tr>
                  <w:tr w:rsidR="00AE4859" w:rsidRPr="00AE4859">
                    <w:trPr>
                      <w:jc w:val="right"/>
                    </w:trPr>
                    <w:tc>
                      <w:tcPr>
                        <w:tcW w:w="776" w:type="pct"/>
                        <w:vMerge/>
                      </w:tcPr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1" w:type="pct"/>
                      </w:tcPr>
                      <w:p w:rsid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לענין חוק זה דין המדינה כמעביד כדין כל מעביד אחר 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AE4859" w:rsidRPr="00AE4859" w:rsidRDefault="00AE48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''דין דמדינה</w:t>
                        </w:r>
                      </w:p>
                    </w:tc>
                  </w:tr>
                </w:tbl>
                <w:p w:rsidR="00AE4859" w:rsidRDefault="00AE48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82" o:spid="_x0000_s1033" type="#_x0000_t202" style="position:absolute;left:0;text-align:left;margin-left:195.65pt;margin-top:339.9pt;width:328.9pt;height:21.6pt;z-index:1;mso-position-horizontal-relative:page;mso-position-vertical-relative:page" stroked="f">
            <v:textbox style="mso-next-textbox:#_x0000_s44382" inset="0,0,0,0">
              <w:txbxContent>
                <w:p w:rsidR="00AE4859" w:rsidRPr="00AE4859" w:rsidRDefault="00AE4859">
                  <w:pPr>
                    <w:pStyle w:val="OCRStyle1"/>
                    <w:ind w:left="3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דמי מחלה (דין המדינה) (תיקוני חקיקה),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E48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F1C4BD-D7BC-4B67-9A8D-8BD12024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485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2008-04-07T10:25:00Z</dcterms:created>
  <dcterms:modified xsi:type="dcterms:W3CDTF">2008-04-07T10:25:00Z</dcterms:modified>
</cp:coreProperties>
</file>