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4CFE" w:rsidRDefault="00894CFE">
      <w:pPr>
        <w:rPr>
          <w:rtl/>
        </w:rPr>
      </w:pPr>
    </w:p>
    <w:p w:rsidR="00894C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51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510" inset="0,0,0,0">
              <w:txbxContent>
                <w:p w:rsidR="00894CFE" w:rsidRDefault="00894CFE">
                  <w:r>
                    <w:rPr>
                      <w:rtl/>
                    </w:rPr>
                    <w:t>392                                         ספר החוקים 1537                    י"א באב התשנ"ה 07.08.1995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11" o:spid="_x0000_s1026" type="#_x0000_t202" style="position:absolute;left:0;text-align:left;margin-left:91.4pt;margin-top:542.85pt;width:384.9pt;height:218.6pt;z-index:7;mso-position-horizontal-relative:page;mso-position-vertical-relative:page" stroked="f">
            <v:textbox style="mso-next-textbox:#_x0000_s44511" inset="0,0,0,0">
              <w:txbxContent>
                <w:p w:rsidR="00894CFE" w:rsidRDefault="00894CFE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התשנ''ה (1 באוגוסט 1995); הצעת החוק ודברי הסבר פורסמו בהצעות חוק</w:t>
                  </w:r>
                </w:p>
                <w:p w:rsidR="00894CFE" w:rsidRDefault="00894CFE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2415, מיום ה' בתמוז התשנ''ה (3 ביולי 1995), עמ' 530.</w:t>
                  </w:r>
                </w:p>
                <w:p w:rsidR="00894CFE" w:rsidRPr="00894CFE" w:rsidRDefault="00894CFE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 xml:space="preserve">1 ס"ח התשל"ז, עמ' 26; התשנ"ה, עמ' 391. 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12" o:spid="_x0000_s1027" type="#_x0000_t202" style="position:absolute;left:0;text-align:left;margin-left:111.2pt;margin-top:468pt;width:85.15pt;height:29.3pt;z-index:6;mso-position-horizontal-relative:page;mso-position-vertical-relative:page" stroked="f">
            <v:textbox style="mso-next-textbox:#_x0000_s44512" inset="0,0,0,0">
              <w:txbxContent>
                <w:p w:rsidR="00894CFE" w:rsidRDefault="00894CFE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894CFE" w:rsidRDefault="00894CFE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13" o:spid="_x0000_s1028" type="#_x0000_t202" style="position:absolute;left:0;text-align:left;margin-left:215.35pt;margin-top:489.4pt;width:88.7pt;height:37.05pt;z-index:5;mso-position-horizontal-relative:page;mso-position-vertical-relative:page" stroked="f">
            <v:textbox style="mso-next-textbox:#_x0000_s44513" inset="0,0,0,0">
              <w:txbxContent>
                <w:p w:rsidR="00894CFE" w:rsidRDefault="00894CFE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94CFE" w:rsidRDefault="00894CFE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14" o:spid="_x0000_s1029" type="#_x0000_t202" style="position:absolute;left:0;text-align:left;margin-left:304.85pt;margin-top:464.45pt;width:73.25pt;height:32.85pt;z-index:4;mso-position-horizontal-relative:page;mso-position-vertical-relative:page" stroked="f">
            <v:textbox style="mso-next-textbox:#_x0000_s44514" inset="0,0,0,0">
              <w:txbxContent>
                <w:p w:rsidR="00894CFE" w:rsidRDefault="00894CF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94CFE" w:rsidRDefault="00894CFE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15" o:spid="_x0000_s1030" type="#_x0000_t202" style="position:absolute;left:0;text-align:left;margin-left:391pt;margin-top:492.15pt;width:74.85pt;height:35.25pt;z-index:3;mso-position-horizontal-relative:page;mso-position-vertical-relative:page" stroked="f">
            <v:textbox style="mso-next-textbox:#_x0000_s44515" inset="0,0,0,0">
              <w:txbxContent>
                <w:p w:rsidR="00894CFE" w:rsidRDefault="00894CFE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94CFE" w:rsidRDefault="00894CFE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16" o:spid="_x0000_s1031" type="#_x0000_t202" style="position:absolute;left:0;text-align:left;margin-left:78.55pt;margin-top:401.65pt;width:475.2pt;height:55.05pt;z-index:2;mso-position-horizontal-relative:page;mso-position-vertical-relative:page" stroked="f">
            <v:textbox style="mso-next-textbox:#_x0000_s4451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38"/>
                    <w:gridCol w:w="958"/>
                    <w:gridCol w:w="1447"/>
                  </w:tblGrid>
                  <w:tr w:rsidR="00894CFE" w:rsidRPr="00894CFE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894CFE" w:rsidRPr="00894CFE" w:rsidRDefault="00894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אחרי סעיף 376 לחוק העונשין, התשל"ז-1977 1,יבוא: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894CFE" w:rsidRPr="00894CFE" w:rsidRDefault="00894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376א</w:t>
                        </w:r>
                      </w:p>
                    </w:tc>
                  </w:tr>
                  <w:tr w:rsidR="00894CFE">
                    <w:trPr>
                      <w:jc w:val="right"/>
                    </w:trPr>
                    <w:tc>
                      <w:tcPr>
                        <w:tcW w:w="3609" w:type="pct"/>
                      </w:tcPr>
                      <w:p w:rsidR="00894CFE" w:rsidRDefault="00894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376א. המעכב תחת ידו, שלא בדין, דרכון, תעודת מסע, או תעודת זהות</w:t>
                        </w:r>
                      </w:p>
                      <w:p w:rsidR="00894CFE" w:rsidRDefault="00894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אחר, דינו - מאסר שנה."</w:t>
                        </w:r>
                      </w:p>
                    </w:tc>
                    <w:tc>
                      <w:tcPr>
                        <w:tcW w:w="554" w:type="pct"/>
                      </w:tcPr>
                      <w:p w:rsidR="00894CFE" w:rsidRPr="00894CFE" w:rsidRDefault="00894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"עיכוב דרכון</w:t>
                        </w:r>
                      </w:p>
                    </w:tc>
                    <w:tc>
                      <w:tcPr>
                        <w:tcW w:w="837" w:type="pct"/>
                      </w:tcPr>
                      <w:p w:rsidR="00894CFE" w:rsidRDefault="00894CF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94CFE" w:rsidRDefault="00894C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517" o:spid="_x0000_s1032" type="#_x0000_t202" style="position:absolute;left:0;text-align:left;margin-left:165.5pt;margin-top:376.7pt;width:246.1pt;height:24.95pt;z-index:1;mso-position-horizontal-relative:page;mso-position-vertical-relative:page" stroked="f">
            <v:textbox style="mso-next-textbox:#_x0000_s44517" inset="0,0,0,0">
              <w:txbxContent>
                <w:p w:rsidR="00894CFE" w:rsidRPr="00894CFE" w:rsidRDefault="00894CFE">
                  <w:pPr>
                    <w:pStyle w:val="OCRStyle1"/>
                    <w:ind w:left="2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45),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94C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4C2C21-E964-4990-8A42-99F6612E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4CF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2008-04-07T10:28:00Z</dcterms:created>
  <dcterms:modified xsi:type="dcterms:W3CDTF">2008-04-07T10:28:00Z</dcterms:modified>
</cp:coreProperties>
</file>