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44C0F" w:rsidRDefault="00644C0F">
      <w:pPr>
        <w:rPr>
          <w:rtl/>
        </w:rPr>
      </w:pPr>
    </w:p>
    <w:p w:rsidR="00644C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63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4634" inset="0,0,0,0">
              <w:txbxContent>
                <w:p w:rsidR="00644C0F" w:rsidRDefault="00644C0F">
                  <w:r>
                    <w:rPr>
                      <w:rtl/>
                    </w:rPr>
                    <w:t>440                                         ספר החוקים 1541                    י"ד באב התשנ"ה 10.08.1995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5" o:spid="_x0000_s1026" type="#_x0000_t202" style="position:absolute;left:0;text-align:left;margin-left:82.35pt;margin-top:502.8pt;width:388.1pt;height:105.15pt;z-index:7;mso-position-horizontal-relative:page;mso-position-vertical-relative:page" stroked="f">
            <v:textbox style="mso-next-textbox:#_x0000_s44635" inset="0,0,0,0">
              <w:txbxContent>
                <w:p w:rsidR="00644C0F" w:rsidRDefault="00644C0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התשנ"ה (31 ביולי 9951); הצעת החוק ודברי הסבר פורסמו בהצעות חוק 2416</w:t>
                  </w:r>
                </w:p>
                <w:p w:rsidR="00644C0F" w:rsidRDefault="00644C0F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מיום ה' בתמוז התשנ'ה (3 ביולי 1995), עמ' 539.</w:t>
                  </w:r>
                </w:p>
                <w:p w:rsidR="00644C0F" w:rsidRDefault="00644C0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1 ס"ח התשמ"ו, עמ' 107; התשנ"ד, עמ' 266.</w:t>
                  </w:r>
                </w:p>
                <w:p w:rsidR="00644C0F" w:rsidRDefault="00644C0F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2 ס"ח התשט"ו, עמ' 171; התשנ"ד, עמ' 358.</w:t>
                  </w:r>
                </w:p>
                <w:p w:rsidR="00644C0F" w:rsidRPr="00644C0F" w:rsidRDefault="00644C0F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3 ס"ח התשל"ז, עמ' 226; התשנ"ה, עמ' 392.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6" o:spid="_x0000_s1027" type="#_x0000_t202" style="position:absolute;left:0;text-align:left;margin-left:105.55pt;margin-top:422.05pt;width:81pt;height:37.8pt;z-index:6;mso-position-horizontal-relative:page;mso-position-vertical-relative:page" stroked="f">
            <v:textbox style="mso-next-textbox:#_x0000_s44636" inset="0,0,0,0">
              <w:txbxContent>
                <w:p w:rsidR="00644C0F" w:rsidRDefault="00644C0F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44C0F" w:rsidRDefault="00644C0F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7" o:spid="_x0000_s1028" type="#_x0000_t202" style="position:absolute;left:0;text-align:left;margin-left:208.9pt;margin-top:446.95pt;width:84.35pt;height:42.15pt;z-index:5;mso-position-horizontal-relative:page;mso-position-vertical-relative:page" stroked="f">
            <v:textbox style="mso-next-textbox:#_x0000_s44637" inset="0,0,0,0">
              <w:txbxContent>
                <w:p w:rsidR="00644C0F" w:rsidRDefault="00644C0F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44C0F" w:rsidRDefault="00644C0F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8" o:spid="_x0000_s1029" type="#_x0000_t202" style="position:absolute;left:0;text-align:left;margin-left:295.8pt;margin-top:423.6pt;width:74.85pt;height:34.45pt;z-index:4;mso-position-horizontal-relative:page;mso-position-vertical-relative:page" stroked="f">
            <v:textbox style="mso-next-textbox:#_x0000_s44638" inset="0,0,0,0">
              <w:txbxContent>
                <w:p w:rsidR="00644C0F" w:rsidRDefault="00644C0F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44C0F" w:rsidRDefault="00644C0F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39" o:spid="_x0000_s1030" type="#_x0000_t202" style="position:absolute;left:0;text-align:left;margin-left:379.35pt;margin-top:449.55pt;width:78.2pt;height:42.15pt;z-index:3;mso-position-horizontal-relative:page;mso-position-vertical-relative:page" stroked="f">
            <v:textbox style="mso-next-textbox:#_x0000_s44639" inset="0,0,0,0">
              <w:txbxContent>
                <w:p w:rsidR="00644C0F" w:rsidRDefault="00644C0F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644C0F" w:rsidRDefault="00644C0F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640" o:spid="_x0000_s1031" type="#_x0000_t202" style="position:absolute;left:0;text-align:left;margin-left:84.95pt;margin-top:105.25pt;width:467.3pt;height:309.85pt;z-index:2;mso-position-horizontal-relative:page;mso-position-vertical-relative:page" stroked="f">
            <v:textbox style="mso-next-textbox:#_x0000_s4464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8"/>
                    <w:gridCol w:w="1167"/>
                    <w:gridCol w:w="1562"/>
                  </w:tblGrid>
                  <w:tr w:rsidR="00644C0F" w:rsidRPr="00644C0F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644C0F" w:rsidRDefault="00644C0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אחרי סעיף 44 לחוק שירות בטחון [נוסח משולב], התשמ"ו-11986(להלן - החוק</w:t>
                        </w:r>
                      </w:p>
                      <w:p w:rsidR="00644C0F" w:rsidRP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919" w:type="pct"/>
                      </w:tcPr>
                      <w:p w:rsidR="00644C0F" w:rsidRP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44א</w:t>
                        </w:r>
                      </w:p>
                    </w:tc>
                  </w:tr>
                  <w:tr w:rsidR="00644C0F">
                    <w:trPr>
                      <w:jc w:val="right"/>
                    </w:trPr>
                    <w:tc>
                      <w:tcPr>
                        <w:tcW w:w="3394" w:type="pct"/>
                      </w:tcPr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44א. (א) לא ידרוש אדם ולא יעשה שימוש בכל נתון אישי צבאי, אלא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כן הורשה לכך בחוק, בתקנות לפי חוק זה או בפקודות הצבא, ובלבד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שהדרישה או השימוש ייעשו למטרה שלשמה הורשה.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יקבע הוראות לענין מסירתו של מידע רפואי שבידי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 הגנה לישראל, שאינו נתון אישי צבאי, ובלבד שאין איסור למסרו על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דין.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"דרישה'' - לרבות פניה, שמטרתה קבלת נתון אישי צבאי, על מנת לעשות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שימוש לצרכי הפונה או אדם אחר-,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"נתון אישי צבאי" - הסימול המספרי המציין את מידת התאמתו של אדם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הצבאי, או מסמך צבאי הקובע כושר לשירות צבאי או את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מידת ההתאמה לשירות, ובן בל נתון אחר ששר הבטחון קבע בצו לענין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זה;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"פקודות הצבא" - כהגדרתן בסעיף 1 לחוק השיפוט הצבאי, התשט''ו-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1955 2."</w:t>
                        </w:r>
                      </w:p>
                    </w:tc>
                    <w:tc>
                      <w:tcPr>
                        <w:tcW w:w="687" w:type="pct"/>
                      </w:tcPr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"חסיון של</w:t>
                        </w:r>
                      </w:p>
                      <w:p w:rsidR="00644C0F" w:rsidRP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נתון אישי צבאי</w:t>
                        </w:r>
                      </w:p>
                    </w:tc>
                    <w:tc>
                      <w:tcPr>
                        <w:tcW w:w="919" w:type="pct"/>
                      </w:tcPr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44C0F" w:rsidRPr="00644C0F">
                    <w:trPr>
                      <w:jc w:val="right"/>
                    </w:trPr>
                    <w:tc>
                      <w:tcPr>
                        <w:tcW w:w="4081" w:type="pct"/>
                        <w:gridSpan w:val="2"/>
                      </w:tcPr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46 לחוק העיקרי, בסופו יבוא:</w:t>
                        </w:r>
                      </w:p>
                      <w:p w:rsid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העובר על הוראות סעיף 44א, דינו - כפל הקנס הקבוע בסעיף (61)  (א) (1) לחוק</w:t>
                        </w:r>
                      </w:p>
                      <w:p w:rsidR="00644C0F" w:rsidRP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התשל"ז-1977 3."</w:t>
                        </w:r>
                      </w:p>
                    </w:tc>
                    <w:tc>
                      <w:tcPr>
                        <w:tcW w:w="919" w:type="pct"/>
                      </w:tcPr>
                      <w:p w:rsidR="00644C0F" w:rsidRPr="00644C0F" w:rsidRDefault="00644C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46</w:t>
                        </w:r>
                      </w:p>
                    </w:tc>
                  </w:tr>
                </w:tbl>
                <w:p w:rsidR="00644C0F" w:rsidRDefault="00644C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641" o:spid="_x0000_s1032" type="#_x0000_t202" style="position:absolute;left:0;text-align:left;margin-left:151.25pt;margin-top:81.45pt;width:263.15pt;height:21pt;z-index:1;mso-position-horizontal-relative:page;mso-position-vertical-relative:page" stroked="f">
            <v:textbox style="mso-next-textbox:#_x0000_s44641" inset="0,0,0,0">
              <w:txbxContent>
                <w:p w:rsidR="00644C0F" w:rsidRPr="00644C0F" w:rsidRDefault="00644C0F">
                  <w:pPr>
                    <w:pStyle w:val="OCRStyle1"/>
                    <w:ind w:left="27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שירות בטחון (תיקון מס' 6),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44C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18A65C-D780-49E6-926B-D42B7944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44C0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2008-04-07T10:32:00Z</dcterms:created>
  <dcterms:modified xsi:type="dcterms:W3CDTF">2008-04-07T10:33:00Z</dcterms:modified>
</cp:coreProperties>
</file>