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D1389" w:rsidRDefault="002D1389">
      <w:pPr>
        <w:rPr>
          <w:rtl/>
        </w:rPr>
      </w:pPr>
    </w:p>
    <w:p w:rsidR="002D138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935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4935" inset="0,0,0,0">
              <w:txbxContent>
                <w:p w:rsidR="002D1389" w:rsidRDefault="002D1389">
                  <w:r>
                    <w:rPr>
                      <w:rtl/>
                    </w:rPr>
                    <w:t>110                                         ספר החוקים 1567                    ט' באדר התשנ"ו 29.02.1996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36" o:spid="_x0000_s1026" type="#_x0000_t202" style="position:absolute;left:0;text-align:left;margin-left:86.5pt;margin-top:700.95pt;width:226.3pt;height:45.55pt;z-index:8;mso-position-horizontal-relative:page;mso-position-vertical-relative:page" stroked="f">
            <v:textbox style="mso-next-textbox:#_x0000_s44936" inset="0,0,0,0">
              <w:txbxContent>
                <w:p w:rsidR="002D1389" w:rsidRDefault="002D138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937" o:spid="_x0000_s1027" type="#_x0000_t202" style="position:absolute;left:0;text-align:left;margin-left:91.65pt;margin-top:575.2pt;width:383.15pt;height:45.75pt;z-index:7;mso-position-horizontal-relative:page;mso-position-vertical-relative:page" stroked="f">
            <v:textbox style="mso-next-textbox:#_x0000_s44937" inset="0,0,0,0">
              <w:txbxContent>
                <w:p w:rsidR="002D1389" w:rsidRDefault="002D1389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בשבט התשנ"ו (19 בפברואר 1996); הצעת החוק ודברי ההסבר פורסמו בהצעות</w:t>
                  </w:r>
                </w:p>
                <w:p w:rsidR="002D1389" w:rsidRDefault="002D1389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חוק 2589, מיום כ"ז באדר ב' התשנ"ה (29 במרס 1995), עמ' 420.</w:t>
                  </w:r>
                </w:p>
                <w:p w:rsidR="002D1389" w:rsidRDefault="002D1389">
                  <w:pPr>
                    <w:pStyle w:val="OCRStyle1"/>
                    <w:ind w:left="104"/>
                  </w:pPr>
                  <w:r>
                    <w:rPr>
                      <w:rtl/>
                    </w:rPr>
                    <w:t>1 ס"ח התשכ"ה, עמ' 307; התשנ-ה, עבר 450.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38" o:spid="_x0000_s1028" type="#_x0000_t202" style="position:absolute;left:0;text-align:left;margin-left:109.7pt;margin-top:493.4pt;width:66.35pt;height:37.05pt;z-index:6;mso-position-horizontal-relative:page;mso-position-vertical-relative:page" stroked="f">
            <v:textbox style="mso-next-textbox:#_x0000_s44938" inset="0,0,0,0">
              <w:txbxContent>
                <w:p w:rsidR="002D1389" w:rsidRDefault="002D1389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חיים רמון</w:t>
                  </w:r>
                </w:p>
                <w:p w:rsidR="002D1389" w:rsidRDefault="002D1389">
                  <w:pPr>
                    <w:pStyle w:val="OCRStyle1"/>
                    <w:ind w:left="191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39" o:spid="_x0000_s1029" type="#_x0000_t202" style="position:absolute;left:0;text-align:left;margin-left:190.65pt;margin-top:524.5pt;width:85.35pt;height:27.5pt;z-index:5;mso-position-horizontal-relative:page;mso-position-vertical-relative:page" stroked="f">
            <v:textbox style="mso-next-textbox:#_x0000_s44939" inset="0,0,0,0">
              <w:txbxContent>
                <w:p w:rsidR="002D1389" w:rsidRDefault="002D1389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2D1389" w:rsidRDefault="002D1389">
                  <w:pPr>
                    <w:pStyle w:val="OCRStyle1"/>
                    <w:ind w:left="4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40" o:spid="_x0000_s1030" type="#_x0000_t202" style="position:absolute;left:0;text-align:left;margin-left:294.8pt;margin-top:493.4pt;width:81pt;height:31.1pt;z-index:4;mso-position-horizontal-relative:page;mso-position-vertical-relative:page" stroked="f">
            <v:textbox style="mso-next-textbox:#_x0000_s44940" inset="0,0,0,0">
              <w:txbxContent>
                <w:p w:rsidR="002D1389" w:rsidRDefault="002D1389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2D1389" w:rsidRDefault="002D1389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41" o:spid="_x0000_s1031" type="#_x0000_t202" style="position:absolute;left:0;text-align:left;margin-left:387.85pt;margin-top:519.35pt;width:74.05pt;height:37.8pt;z-index:3;mso-position-horizontal-relative:page;mso-position-vertical-relative:page" stroked="f">
            <v:textbox style="mso-next-textbox:#_x0000_s44941" inset="0,0,0,0">
              <w:txbxContent>
                <w:p w:rsidR="002D1389" w:rsidRDefault="002D1389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2D1389" w:rsidRDefault="002D1389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42" o:spid="_x0000_s1032" type="#_x0000_t202" style="position:absolute;left:0;text-align:left;margin-left:97.8pt;margin-top:103.55pt;width:446.7pt;height:386.5pt;z-index:2;mso-position-horizontal-relative:page;mso-position-vertical-relative:page" stroked="f">
            <v:textbox style="mso-next-textbox:#_x0000_s44942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67"/>
                    <w:gridCol w:w="1157"/>
                  </w:tblGrid>
                  <w:tr w:rsidR="002D1389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2D1389" w:rsidRDefault="002D1389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התכנון והבניה, התשב-ה-1965 1, בסעיף 19, סעיף קטן (או) יסומן (א2) ולפניו</w:t>
                        </w:r>
                      </w:p>
                      <w:p w:rsidR="002D1389" w:rsidRDefault="002D13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2D1389" w:rsidRDefault="002D13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"(א1)(1) על אף הוראות סעיף קטן (א), במרחב תכנון מקומי, שברשות מרחבית אחת</w:t>
                        </w:r>
                      </w:p>
                      <w:p w:rsidR="002D1389" w:rsidRDefault="002D13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המצויה בתחומו, מספר התושבים הוא שלושים וחמישה אלף או יותר,</w:t>
                        </w:r>
                      </w:p>
                      <w:p w:rsidR="002D1389" w:rsidRDefault="002D13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הוראות אלה:</w:t>
                        </w:r>
                      </w:p>
                      <w:p w:rsidR="002D1389" w:rsidRDefault="002D13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הועדה המקומית תהיה בת 17 חברים ותורכב מנציגי הרשויות</w:t>
                        </w:r>
                      </w:p>
                      <w:p w:rsidR="002D1389" w:rsidRDefault="002D13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המרחביות;</w:t>
                        </w:r>
                      </w:p>
                      <w:p w:rsidR="002D1389" w:rsidRDefault="002D13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הפנים יקבע את מספר הנציגים של כל רשות מרחבית בועדה</w:t>
                        </w:r>
                      </w:p>
                      <w:p w:rsidR="002D1389" w:rsidRDefault="002D13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המקומית, לפי היחס שבין מספר התושבים של כל אחת מהרשויות</w:t>
                        </w:r>
                      </w:p>
                      <w:p w:rsidR="002D1389" w:rsidRDefault="002D13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המרחביות למספר התושבים הכולל של הרשויות המרחביות שבאותו</w:t>
                        </w:r>
                      </w:p>
                      <w:p w:rsidR="002D1389" w:rsidRDefault="002D13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מרחב תכנון, אך לא פחות מנציג אחד לכל רשות מרחבית;</w:t>
                        </w:r>
                      </w:p>
                      <w:p w:rsidR="002D1389" w:rsidRDefault="002D13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רשות מרחבית תבחר, ככל שניתן, את נציגיה לועדה המקומית</w:t>
                        </w:r>
                      </w:p>
                      <w:p w:rsidR="002D1389" w:rsidRDefault="002D13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להרכב היחסי של הסיעות; ואולם, אם מספר הנציגים של רשות</w:t>
                        </w:r>
                      </w:p>
                      <w:p w:rsidR="002D1389" w:rsidRDefault="002D13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מרחבית אחת בועדה המקומית הוא ארבעה לפחות, וקיימת באותה רשות</w:t>
                        </w:r>
                      </w:p>
                      <w:p w:rsidR="002D1389" w:rsidRDefault="002D13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מרחבית ועדת הנהלה של כל הסיעות מיוצגות בה, תבחר הרשות</w:t>
                        </w:r>
                      </w:p>
                      <w:p w:rsidR="002D1389" w:rsidRDefault="002D13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המרחבית, לועדה המקומית, נציג אחד לפחות מסיעה שאינה מיוצגת</w:t>
                        </w:r>
                      </w:p>
                      <w:p w:rsidR="002D1389" w:rsidRDefault="002D13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בועדת ההנהלה;</w:t>
                        </w:r>
                      </w:p>
                      <w:p w:rsidR="002D1389" w:rsidRDefault="002D13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הועדה המקומית תבחר מבין חבריה יושב ראש;</w:t>
                        </w:r>
                      </w:p>
                      <w:p w:rsidR="002D1389" w:rsidRDefault="002D13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(א) הועדה המקומית שהוקמה לפי פסקה (ו) תבחר, מבין חבריה, ועדת</w:t>
                        </w:r>
                      </w:p>
                      <w:p w:rsidR="002D1389" w:rsidRDefault="002D13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משנה לתכנון ולבניה (להלן - ועדת משנה) בת שבעה חברים.</w:t>
                        </w:r>
                      </w:p>
                      <w:p w:rsidR="002D1389" w:rsidRDefault="002D13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התפקידים והסמכויות של וערה מקומית יהיו נתונים לועדת</w:t>
                        </w:r>
                      </w:p>
                      <w:p w:rsidR="002D1389" w:rsidRDefault="002D13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משנה ודין החלטתה, בכפוף להוראות סעיף 18 (ז), כדין החלטת הועדה</w:t>
                        </w:r>
                      </w:p>
                      <w:p w:rsidR="002D1389" w:rsidRDefault="002D13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המקומית.</w:t>
                        </w:r>
                      </w:p>
                      <w:p w:rsidR="002D1389" w:rsidRPr="002D1389" w:rsidRDefault="002D13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החלטות ועדת המשנה לפי סעיף זה יחולו הוראות סעיף  18(ז).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2D1389" w:rsidRDefault="002D13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19</w:t>
                        </w:r>
                      </w:p>
                    </w:tc>
                  </w:tr>
                </w:tbl>
                <w:p w:rsidR="002D1389" w:rsidRDefault="002D138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943" o:spid="_x0000_s1033" type="#_x0000_t202" style="position:absolute;left:0;text-align:left;margin-left:143.35pt;margin-top:71.7pt;width:279.75pt;height:26.75pt;z-index:1;mso-position-horizontal-relative:page;mso-position-vertical-relative:page" stroked="f">
            <v:textbox style="mso-next-textbox:#_x0000_s44943" inset="0,0,0,0">
              <w:txbxContent>
                <w:p w:rsidR="002D1389" w:rsidRPr="002D1389" w:rsidRDefault="002D1389">
                  <w:pPr>
                    <w:pStyle w:val="OCRStyle1"/>
                    <w:ind w:left="18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התכנון והבניה (תיקון מס' 44), התשנ"ו-1996*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D138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138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447F6C8-B0C7-4177-B4E5-0F7568BC8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D138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2008-04-07T10:08:00Z</dcterms:created>
  <dcterms:modified xsi:type="dcterms:W3CDTF">2008-04-07T10:08:00Z</dcterms:modified>
</cp:coreProperties>
</file>