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7E0B" w:rsidRDefault="00307E0B">
      <w:pPr>
        <w:rPr>
          <w:rtl/>
        </w:rPr>
      </w:pPr>
    </w:p>
    <w:p w:rsidR="00307E0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9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991" inset="0,0,0,0">
              <w:txbxContent>
                <w:p w:rsidR="00527077" w:rsidRDefault="00527077">
                  <w:r>
                    <w:rPr>
                      <w:rtl/>
                    </w:rPr>
                    <w:t>92                                          ספר החוקים 1564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92" o:spid="_x0000_s1026" type="#_x0000_t202" style="position:absolute;left:0;text-align:left;margin-left:78.65pt;margin-top:662.65pt;width:383.9pt;height:83.55pt;z-index:3;mso-position-horizontal-relative:page;mso-position-vertical-relative:page" stroked="f">
            <v:textbox style="mso-next-textbox:#_x0000_s44992" inset="0,0,0,0">
              <w:txbxContent>
                <w:p w:rsidR="00527077" w:rsidRDefault="00527077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כ"ג בשבט התשנ"ו (13 בפברואר 1996); הצעת החוק ודברי ההסבר פורסמו בהצעות</w:t>
                  </w:r>
                </w:p>
                <w:p w:rsidR="00527077" w:rsidRDefault="0052707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חוק 2382, מיום י"ח באדר ב' התשנ"ה (20 במרס 1995), עמ' 389</w:t>
                  </w:r>
                </w:p>
                <w:p w:rsidR="00527077" w:rsidRPr="00307E0B" w:rsidRDefault="00527077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1 ס''ח התשל''ג, עמ' 272; התשמ"ד, עמ' 23.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93" o:spid="_x0000_s1027" type="#_x0000_t202" style="position:absolute;left:0;text-align:left;margin-left:74.25pt;margin-top:108.25pt;width:470.05pt;height:551.05pt;z-index:2;mso-position-horizontal-relative:page;mso-position-vertical-relative:page" stroked="f">
            <v:textbox style="mso-next-textbox:#_x0000_s4499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0"/>
                    <w:gridCol w:w="1063"/>
                    <w:gridCol w:w="1544"/>
                  </w:tblGrid>
                  <w:tr w:rsidR="00527077" w:rsidRPr="00307E0B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27077" w:rsidRDefault="0052707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1 לחוק זכות מטפחים של זני צמחים, התשל'ג - 1973 1 (להלן - החוק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בהגדרה "האמנה", בסופה, במקום ''ובשנת 1978 " יבוא ''בשנת 1978 ובשנת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1991";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ההגדרה ''זן" יבוא: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""זן" - קבוצת צמחים בתוך יחידת מיון בוטנית מהדרג הידוע הנמוך ביותר,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אשר, בלי להתחשב במידה שבה מולאו התנאים להענקת זכות מטפחים, יכול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-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תוגדר כביטוי לתכונות הנובעות מגנוטיפ נתון או משילובם של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גנוטיפים;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תובדל מכל קבוצת צמחים אחרת על ידי ביטוי של לפחות אחת מן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התכונות באמור בפסקה (ו);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תיחשב כיחידה עצמאית בכל הנוגע להתאמתה להתרבות ללא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שינוי;";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ההגדרה "זן" יבוא: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""זן נגזר בעיקרו" - כמשמעותו בסעיף 36;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מאוסף" - צמח וכל חלק ממנו, לרבות פריו, שאינו מיועד לגידול או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לריבוי;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"חומר ריבוי" - צמח וכל חלק ממנו המיועד לגידול או לריבוי, לרבות זרעים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ותרביות ריקמה";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בהגדרה "מדינת האיגוד", הסיפה החל במלים "וכי השר רואה אותה" -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ההגדרה "ניצול" יבוא: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""ניצול", לענין זן -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גידולו או ריבויו;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הכנה לצורך ריבויו;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הצעה למכירתו;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מכירתו, ייצואו, ייבואו, או שיווקו בכל דרך אחרת;</w:t>
                        </w:r>
                      </w:p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החזקתו לצורך אחת הפעולות המנויות בהגדרה זו;</w:t>
                        </w:r>
                      </w:p>
                      <w:p w:rsidR="00527077" w:rsidRPr="00307E0B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פעולות אחרות, שהשר קבע באישור ועדת הכלכלה של הכנסת;".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27077" w:rsidRPr="00307E0B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527077" w:rsidRPr="00307E0B">
                    <w:trPr>
                      <w:jc w:val="right"/>
                    </w:trPr>
                    <w:tc>
                      <w:tcPr>
                        <w:tcW w:w="4097" w:type="pct"/>
                        <w:gridSpan w:val="2"/>
                      </w:tcPr>
                      <w:p w:rsidR="00527077" w:rsidRPr="00307E0B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לחוק העיקרי יבוא: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27077" w:rsidRPr="00307E0B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527077">
                    <w:trPr>
                      <w:jc w:val="right"/>
                    </w:trPr>
                    <w:tc>
                      <w:tcPr>
                        <w:tcW w:w="3475" w:type="pct"/>
                      </w:tcPr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חוק זה יחולו על כל הסוגים והמינים הבוטניים.'</w:t>
                        </w:r>
                      </w:p>
                    </w:tc>
                    <w:tc>
                      <w:tcPr>
                        <w:tcW w:w="622" w:type="pct"/>
                      </w:tcPr>
                      <w:p w:rsidR="00527077" w:rsidRPr="00307E0B" w:rsidRDefault="005270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  <w:tc>
                      <w:tcPr>
                        <w:tcW w:w="903" w:type="pct"/>
                      </w:tcPr>
                      <w:p w:rsidR="00527077" w:rsidRDefault="0052707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27077" w:rsidRDefault="005270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994" o:spid="_x0000_s1028" type="#_x0000_t202" style="position:absolute;left:0;text-align:left;margin-left:92.5pt;margin-top:75.6pt;width:343.55pt;height:28.5pt;z-index:1;mso-position-horizontal-relative:page;mso-position-vertical-relative:page" stroked="f">
            <v:textbox style="mso-next-textbox:#_x0000_s44994" inset="0,0,0,0">
              <w:txbxContent>
                <w:p w:rsidR="00527077" w:rsidRPr="00307E0B" w:rsidRDefault="00527077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זכות מטפחים של זני צמחים (תיקון מס' 2), התשנ"ו-1996*</w:t>
                  </w:r>
                </w:p>
              </w:txbxContent>
            </v:textbox>
            <w10:wrap anchorx="page" anchory="page"/>
          </v:shape>
        </w:pict>
      </w:r>
    </w:p>
    <w:p w:rsidR="00A338AE" w:rsidRDefault="00A338AE">
      <w:pPr>
        <w:rPr>
          <w:rtl/>
        </w:rPr>
      </w:pPr>
      <w:r>
        <w:rPr>
          <w:rtl/>
        </w:rPr>
        <w:br w:type="page"/>
      </w:r>
    </w:p>
    <w:p w:rsidR="00A338AE" w:rsidRDefault="00000000">
      <w:pPr>
        <w:rPr>
          <w:rtl/>
        </w:rPr>
      </w:pPr>
      <w:r>
        <w:pict>
          <v:shape id="_x0000_s4499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995" inset="0,0,0,0">
              <w:txbxContent>
                <w:p w:rsidR="00527077" w:rsidRDefault="00527077">
                  <w:r>
                    <w:rPr>
                      <w:rtl/>
                    </w:rPr>
                    <w:t>93                                          ספר החוקים 1564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96" o:spid="_x0000_s1030" type="#_x0000_t202" style="position:absolute;left:0;text-align:left;margin-left:368.35pt;margin-top:719.5pt;width:192.05pt;height:31.9pt;z-index:6;mso-position-horizontal-relative:page;mso-position-vertical-relative:page" stroked="f">
            <v:textbox style="mso-next-textbox:#_x0000_s44996" inset="0,0,0,0">
              <w:txbxContent>
                <w:p w:rsidR="00527077" w:rsidRDefault="005270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997" o:spid="_x0000_s1031" type="#_x0000_t202" style="position:absolute;left:0;text-align:left;margin-left:104.2pt;margin-top:66.1pt;width:458.75pt;height:647.45pt;z-index:5;mso-position-horizontal-relative:page;mso-position-vertical-relative:page" stroked="f">
            <v:textbox style="mso-next-textbox:#_x0000_s4499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5"/>
                    <w:gridCol w:w="5727"/>
                    <w:gridCol w:w="1199"/>
                  </w:tblGrid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 לחוק העיקרי, במקום סעיף קטן (ב) יבוא: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אזרח ישראלי או תושב ישראל, או אזרח או תושב של מדינת האיגוד, לרבות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שהוקם לפי חוק או הרשום בישראל או במדינת האיגוד, רשאי לבקש רישום</w:t>
                        </w:r>
                      </w:p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מטפחים בספר הזכויות גם לגבי זן שטופח מחוץ לישראל."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 -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בפסקה (2), בסופה יבוא "בהתחשב בשיטת הריבוי של הזן;";</w:t>
                        </w:r>
                      </w:p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במקום "לאחר שרובה" יבוא "לאחר ריבוי חוזר".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7 לחוק העיקרי יבוא: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3" w:type="pct"/>
                      </w:tcPr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זן חדש הוא זן השונה באופן ברור מכל זן אחר שהיה ידוע בעת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הבקשה לרישום זכות מטפחים בו (להלן - היום הקובע).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לפגוע בכלליות הוראות סעיף קטן (א), זן ייחשב כידוע אם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בקשה להענקת זכות מטפחים בזן או לרישום הזן במרשם רשמי של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זנים במדינה כלשהי, ובלבד שהבקשה הסתיימה בהענקת הזכות או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ברישומו במרשם, לפי הענין.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זן ייחשב בחדש אף אם קודם שהוגשה הבקשה לרישום זכות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 בו, נמכר או הועבר בדרך אחרת, על ידי מטפח הזן או בהסכמתו,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הריבוי או החומר המאוסף של הזן במשך תקופה שאינה עולה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בישראל - שנה אחת מהיום הקובע,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מחוץ לישראל - בגפנים, בעצי יער, בעצי פרי ובעצי נוי -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 שנים מהיום הקובע, ובצמחים אחרים - ארבע שנים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הקובע."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"זן חדש מהו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8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8 לחוק העיקרי - בטל.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16(ב) לחוק העיקרי, בסופו יבוא "וכן רשאי הוא, לאחר 30 ימים מיום מסירת</w:t>
                        </w:r>
                      </w:p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התראה למגיש הבקשה למחוק את הבקשה".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ו2(ב) לחוק העיקרי, במקום הסיפה המתחילה במלים "רשאי הרשם" יבוא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"ידחה הרשם את הבקשה, ובלבד שנמסרה למבקש הודעה על כך 30 ימים מראש, ועד</w:t>
                        </w:r>
                      </w:p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למועד הדחיה הוא לא העביר לרשם את החומר והפרטים שדרש'.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22 (א) לחוק העיקרי, כרישה, במקום "30 יום" יבוא "60 ימים".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23 לחוק העיקרי -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"30 יום" יבוא "90 ימים".</w:t>
                        </w:r>
                      </w:p>
                      <w:p w:rsidR="00527077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פיסקה (2) יבוא:</w:t>
                        </w:r>
                      </w:p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הזן אינו עונה על הדרישות המנויות בסעיף 6."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11. בסעיף 26(ב) לחוק העיקרי, במקום "שלושים יום" יבוא "60 ימים''</w:t>
                        </w:r>
                      </w:p>
                    </w:tc>
                  </w:tr>
                  <w:tr w:rsidR="00527077" w:rsidRPr="00A338AE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527077" w:rsidRPr="00A338AE" w:rsidRDefault="0052707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27 לחוק העיקרי, במקום ''30 יום" יבוא ''60 ימים''.</w:t>
                        </w:r>
                      </w:p>
                    </w:tc>
                  </w:tr>
                </w:tbl>
                <w:p w:rsidR="00527077" w:rsidRDefault="005270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C11B5" w:rsidRDefault="009C11B5">
      <w:pPr>
        <w:rPr>
          <w:rtl/>
        </w:rPr>
      </w:pPr>
      <w:r>
        <w:rPr>
          <w:rtl/>
        </w:rPr>
        <w:br w:type="page"/>
      </w:r>
    </w:p>
    <w:p w:rsidR="009C11B5" w:rsidRDefault="00000000">
      <w:pPr>
        <w:rPr>
          <w:rtl/>
        </w:rPr>
      </w:pPr>
      <w:r>
        <w:pict>
          <v:shape id="_x0000_s4499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998" inset="0,0,0,0">
              <w:txbxContent>
                <w:p w:rsidR="00527077" w:rsidRDefault="00527077">
                  <w:r>
                    <w:rPr>
                      <w:rtl/>
                    </w:rPr>
                    <w:t>94                                          ספר החוקים 1564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99" o:spid="_x0000_s1033" type="#_x0000_t202" style="position:absolute;left:0;text-align:left;margin-left:68.5pt;margin-top:727.15pt;width:183.35pt;height:19.8pt;z-index:9;mso-position-horizontal-relative:page;mso-position-vertical-relative:page" stroked="f">
            <v:textbox style="mso-next-textbox:#_x0000_s44999" inset="0,0,0,0">
              <w:txbxContent>
                <w:p w:rsidR="00527077" w:rsidRDefault="0052707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000" o:spid="_x0000_s1034" type="#_x0000_t202" style="position:absolute;left:0;text-align:left;margin-left:74.05pt;margin-top:60.9pt;width:483.7pt;height:640.55pt;z-index:8;mso-position-horizontal-relative:page;mso-position-vertical-relative:page" stroked="f">
            <v:textbox style="mso-next-textbox:#_x0000_s4500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10"/>
                    <w:gridCol w:w="1166"/>
                    <w:gridCol w:w="2020"/>
                  </w:tblGrid>
                  <w:tr w:rsidR="00527077" w:rsidRPr="009C11B5">
                    <w:trPr>
                      <w:jc w:val="right"/>
                    </w:trPr>
                    <w:tc>
                      <w:tcPr>
                        <w:tcW w:w="3852" w:type="pct"/>
                        <w:gridSpan w:val="2"/>
                      </w:tcPr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29 לחוק העיקרי, סעיף קטן (ד) - בטל.</w:t>
                        </w:r>
                      </w:p>
                    </w:tc>
                    <w:tc>
                      <w:tcPr>
                        <w:tcW w:w="1148" w:type="pct"/>
                      </w:tcPr>
                      <w:p w:rsidR="00527077" w:rsidRPr="009C11B5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527077" w:rsidRPr="009C11B5">
                    <w:trPr>
                      <w:jc w:val="right"/>
                    </w:trPr>
                    <w:tc>
                      <w:tcPr>
                        <w:tcW w:w="3852" w:type="pct"/>
                        <w:gridSpan w:val="2"/>
                      </w:tcPr>
                      <w:p w:rsidR="00527077" w:rsidRPr="009C11B5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29 לחוק העיקרי יבוא:</w:t>
                        </w:r>
                      </w:p>
                    </w:tc>
                    <w:tc>
                      <w:tcPr>
                        <w:tcW w:w="1148" w:type="pct"/>
                      </w:tcPr>
                      <w:p w:rsidR="00527077" w:rsidRPr="009C11B5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29א</w:t>
                        </w:r>
                      </w:p>
                    </w:tc>
                  </w:tr>
                  <w:tr w:rsidR="00527077">
                    <w:trPr>
                      <w:jc w:val="right"/>
                    </w:trPr>
                    <w:tc>
                      <w:tcPr>
                        <w:tcW w:w="3189" w:type="pct"/>
                      </w:tcPr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(א) המועצה, ביזמתה או על פי בקשת אדם שיש לו ענין בזן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רשום, תכריז על זכות מטפחים בזן כבטלה מעיקרה, אם ראתה אחת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-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הזן לא ענה על הדרישות המנויות בסעיף 6 בעת שהוענקה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המטפחים;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הזכות הוענקה לאדם שאינו זכאי לה, זולת אם הועברה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 אדם הזכאי לה,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כי המועצה עתידה לדון ביזמה שננקטה להכריז על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בטלות מעיקרה של זכות מטפחים או בבקשה שהוגשה לכך לפי סעיף קטן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(א)(1), תימסר לבעל הזכות ותפורסם ברשומות.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המועצה לא תבריז על בטלות מעיקרה של זכות מטפחים לפי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(א)(1) בטרם נתנה לבעל הזכות ולמבקש ההכרזה הזדמנות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טענותיהם.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בקשה להכריז על בטלות מעיקרה שהוגשה בזמן שתלוי ועומד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 הליך בשל הפרת זכות המטפחים, לא תדון בה המועצה אלא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בית המשפט.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נפתחו הליכים בבית המשפט בשל הפרת זכות מטפחים לאחר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למועצה בקשה להכריז על בטלותה מעיקרה, תוסיף המועצה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בבקשה אם לא הורה בית-המשפט אחרת לענין זה.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סעיף זה יהיו למועצה כל הסמכויות האמורות בסעיף 16,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אפילו פעלה ביזמתה היא בלבד."</w:t>
                        </w:r>
                      </w:p>
                    </w:tc>
                    <w:tc>
                      <w:tcPr>
                        <w:tcW w:w="663" w:type="pct"/>
                      </w:tcPr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"בטלות מעיקרה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זכות</w:t>
                        </w:r>
                      </w:p>
                      <w:p w:rsidR="00527077" w:rsidRPr="009C11B5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</w:t>
                        </w:r>
                      </w:p>
                    </w:tc>
                    <w:tc>
                      <w:tcPr>
                        <w:tcW w:w="1148" w:type="pct"/>
                      </w:tcPr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27077" w:rsidRPr="009C11B5">
                    <w:trPr>
                      <w:jc w:val="right"/>
                    </w:trPr>
                    <w:tc>
                      <w:tcPr>
                        <w:tcW w:w="3852" w:type="pct"/>
                        <w:gridSpan w:val="2"/>
                      </w:tcPr>
                      <w:p w:rsidR="00527077" w:rsidRDefault="00527077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 בסעיף 50 לחוק העיקרי -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כותרת השוליים תהיה ''תוצאות החלטה בדבר ביטול או בטלות זכות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מטפחים";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אחרי "זכות מטפחים" יבוא "בזן או הכרזה על זכות מטפחים בזן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כבטלה מעיקרה" ובמקום "לפי סעיף 87'' יבוא "לפי סעיף 86'';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"בוטלה זכות מטפחים סופית" יבוא "הוכרז על זכות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 בזן כבטלה מעיקרה, כאמור בסעיף 29א(א)";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(ג) יבוא: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בוטלה זכות מטפחים, ירשום הרשם את דבר הביטול בספר הזכויות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ורואים את הזכות כמבוטלת מיום ההחלטה בדבר הביטול כאמור בסעיף 29.'';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קטן (ג) יבוא:</w:t>
                        </w:r>
                      </w:p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הודעה על ביטול זבות מטפחים והודעה בדבר הכרזת זכות מטפחים</w:t>
                        </w:r>
                      </w:p>
                      <w:p w:rsidR="00527077" w:rsidRPr="009C11B5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כבטלה מעיקרה יפורסמו ברשומות.''</w:t>
                        </w:r>
                      </w:p>
                    </w:tc>
                    <w:tc>
                      <w:tcPr>
                        <w:tcW w:w="1148" w:type="pct"/>
                      </w:tcPr>
                      <w:p w:rsidR="00527077" w:rsidRPr="009C11B5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527077" w:rsidRPr="009C11B5">
                    <w:trPr>
                      <w:jc w:val="right"/>
                    </w:trPr>
                    <w:tc>
                      <w:tcPr>
                        <w:tcW w:w="3852" w:type="pct"/>
                        <w:gridSpan w:val="2"/>
                      </w:tcPr>
                      <w:p w:rsidR="00527077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34 לחוק העיקרי, בסעיף קטן (ב), במקום הסיפה החל במילים ''אשר לו'' יבוא</w:t>
                        </w:r>
                      </w:p>
                      <w:p w:rsidR="00527077" w:rsidRPr="009C11B5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''שנרשם".</w:t>
                        </w:r>
                      </w:p>
                    </w:tc>
                    <w:tc>
                      <w:tcPr>
                        <w:tcW w:w="1148" w:type="pct"/>
                      </w:tcPr>
                      <w:p w:rsidR="00527077" w:rsidRPr="009C11B5" w:rsidRDefault="0052707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סעיף-34</w:t>
                        </w:r>
                      </w:p>
                    </w:tc>
                  </w:tr>
                </w:tbl>
                <w:p w:rsidR="00527077" w:rsidRDefault="0052707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D91410" w:rsidRDefault="00D91410">
      <w:pPr>
        <w:rPr>
          <w:rtl/>
        </w:rPr>
      </w:pPr>
      <w:r>
        <w:rPr>
          <w:rtl/>
        </w:rPr>
        <w:br w:type="page"/>
      </w:r>
    </w:p>
    <w:p w:rsidR="00D91410" w:rsidRDefault="00000000">
      <w:pPr>
        <w:rPr>
          <w:rtl/>
        </w:rPr>
      </w:pPr>
      <w:r>
        <w:pict>
          <v:shape id="_x0000_s45001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001" inset="0,0,0,0">
              <w:txbxContent>
                <w:p w:rsidR="00527077" w:rsidRDefault="00527077">
                  <w:r>
                    <w:rPr>
                      <w:rtl/>
                    </w:rPr>
                    <w:t>95                                          ספר החוקים 1564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02" o:spid="_x0000_s1036" type="#_x0000_t202" style="position:absolute;left:0;text-align:left;margin-left:347.05pt;margin-top:716.85pt;width:199.6pt;height:28.5pt;z-index:12;mso-position-horizontal-relative:page;mso-position-vertical-relative:page" stroked="f">
            <v:textbox style="mso-next-textbox:#_x0000_s45002" inset="0,0,0,0">
              <w:txbxContent>
                <w:p w:rsidR="00527077" w:rsidRDefault="0052707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5003" o:spid="_x0000_s1037" type="#_x0000_t202" style="position:absolute;left:0;text-align:left;margin-left:77.55pt;margin-top:63.45pt;width:471.65pt;height:639.75pt;z-index:11;mso-position-horizontal-relative:page;mso-position-vertical-relative:page" stroked="f">
            <v:textbox style="mso-next-textbox:#_x0000_s4500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4"/>
                    <w:gridCol w:w="5739"/>
                    <w:gridCol w:w="1393"/>
                  </w:tblGrid>
                  <w:tr w:rsidR="00527077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במקום סעיף 36 לחוק העיקרי יבוא:</w:t>
                        </w:r>
                      </w:p>
                    </w:tc>
                  </w:tr>
                  <w:tr w:rsidR="00527077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6" w:type="pct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בכפוף להוראות פרק זה ופרק ד, ניצול זן רשום טעון קבלת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רשותו של בעל זכות המטפחים בזן.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זכות מטפחים זכאי למנוע כל אדם זולתו מנצל. ללא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רשותו או שלא כדין, את הזן שלגביו נרשמה הזכות (להלן - הזן המוגן);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לניצול כאמור ייקרא הפרה.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זכותו של בעל זכות מטפחים תחול גם על חומר מאוסף, לרבות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צמחים שלמים וחלקי צמחים, שהושג על ידי שימוש ללא רשות בחומר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 של הזן המוגן, זולת אם ניתנה לבעל זבות המטפחים הזדמנות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לממש את זכותו בנוגע לחומר הריבוי.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השר רשאי, באישור ועדת הכלכלה של הכנסת, לקבוע כי זכותו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זכות מטפחים תחול גם על מוצרים המיוצרים ישירות מחומר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מאוסף של הזן המוגן, לרבות מצמחים שלמים וחלקי צמחים שלו, זולת אם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לבעל זכות המטפחים הזדמנות נאותה לממש את זכותו בנוגע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לחומר המאוסף.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(ד!) זכותו של בעל זכות מטפחים כאמור בסעיפים קטנים (א) עד (ד)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גם על -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זן שנגזר בעיקרו מן הזן המוגן, ובלבד שהזן המוגן אינו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זן שנגזר בעיקרו; לענין זה, ייחשב כנגזר בעיקרו מזן אחר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הזן המקורי), אם נתקיימו בו כל אלה: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נגזר בצורה בולטת מן הזן המקורי, או מזן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שבעצמו נגזר בצורה בולטת מן הזן המקורי, בעודו שומר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ביטוי מאפיינים עיקריים הנובעים מן הגנוטיפ או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משילובם של גנוטיפים של הזן המקורי; זן שנגזר בעיקרו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שהושג על ידי בחירתו של מוטנט טבעי או מושרה,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משתנה סומקלונלי, בחירתו של יחיד משתנה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מצמחי הזן המקורי, הכלאה חוזרת, השתנות באמצעות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הנדסה גנטית או בכל דרך אחרת כיוצא באלה;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ניתן בבירור לאבחנה מן הזן המקורי;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למעט הבדלים הנובעים מפעולת הגזירה, הוא תואם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הזן המקורי במאפיינים העיקריים הנובעים מן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הגנוטיפ או משילוב גנוטיפים של הזן המקורי;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זן אשר, בהתאם לסעיף 7, אינו שונה באופן ברור מן הזן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המוגן;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זן אשר ייצורו מצריך שימוש חוזר בזן המוגן.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זכות מטפחים תהא בת-תוקף כלפי המדינה.'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"היקף זכות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</w:t>
                        </w:r>
                      </w:p>
                    </w:tc>
                  </w:tr>
                  <w:tr w:rsidR="00527077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36א</w:t>
                        </w:r>
                      </w:p>
                    </w:tc>
                    <w:tc>
                      <w:tcPr>
                        <w:tcW w:w="4158" w:type="pct"/>
                        <w:gridSpan w:val="2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36 לחוק העיקרי יבוא:</w:t>
                        </w:r>
                      </w:p>
                    </w:tc>
                  </w:tr>
                  <w:tr w:rsidR="00527077">
                    <w:trPr>
                      <w:jc w:val="right"/>
                    </w:trPr>
                    <w:tc>
                      <w:tcPr>
                        <w:tcW w:w="842" w:type="pct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6" w:type="pct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36א. זכותו של בעל זכות מטפחים לא תחול על ניצולו של הזן המוגן וזן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שנגזר בעיקרו ממנו, אם הזן נמכר או שווק בבל דרך אחרת על ידי בעל</w:t>
                        </w:r>
                      </w:p>
                    </w:tc>
                    <w:tc>
                      <w:tcPr>
                        <w:tcW w:w="812" w:type="pct"/>
                      </w:tcPr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'מיצוי זכות</w:t>
                        </w:r>
                      </w:p>
                      <w:p w:rsidR="00527077" w:rsidRDefault="0052707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</w:t>
                        </w:r>
                      </w:p>
                    </w:tc>
                  </w:tr>
                </w:tbl>
                <w:p w:rsidR="00527077" w:rsidRDefault="0052707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75AF4" w:rsidRDefault="00975AF4">
      <w:pPr>
        <w:rPr>
          <w:rtl/>
        </w:rPr>
      </w:pPr>
      <w:r>
        <w:rPr>
          <w:rtl/>
        </w:rPr>
        <w:br w:type="page"/>
      </w:r>
    </w:p>
    <w:p w:rsidR="00975AF4" w:rsidRDefault="00000000">
      <w:pPr>
        <w:rPr>
          <w:rtl/>
        </w:rPr>
      </w:pPr>
      <w:r>
        <w:pict>
          <v:shape id="_x0000_s45004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004" inset="0,0,0,0">
              <w:txbxContent>
                <w:p w:rsidR="00527077" w:rsidRDefault="00527077">
                  <w:r>
                    <w:rPr>
                      <w:rtl/>
                    </w:rPr>
                    <w:t>96                                          ספר החוקים 1564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05" o:spid="_x0000_s1039" type="#_x0000_t202" style="position:absolute;left:0;text-align:left;margin-left:84.1pt;margin-top:725.85pt;width:199.8pt;height:31.1pt;z-index:15;mso-position-horizontal-relative:page;mso-position-vertical-relative:page" stroked="f">
            <v:textbox style="mso-next-textbox:#_x0000_s45005" inset="0,0,0,0">
              <w:txbxContent>
                <w:p w:rsidR="00527077" w:rsidRDefault="0052707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5006" o:spid="_x0000_s1040" type="#_x0000_t202" style="position:absolute;left:0;text-align:left;margin-left:78.2pt;margin-top:79.4pt;width:477.75pt;height:622.3pt;z-index:14;mso-position-horizontal-relative:page;mso-position-vertical-relative:page" stroked="f">
            <v:textbox style="mso-next-textbox:#_x0000_s450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6"/>
                    <w:gridCol w:w="1242"/>
                    <w:gridCol w:w="1518"/>
                  </w:tblGrid>
                  <w:tr w:rsidR="00527077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המטפחים או בהסכמתו בשטח מדינת ישראל, זולת אם הניצול כרוך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מאלה -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ריבוי חוזר של הזן;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יצוא חומר ריבוי או חומר מאוסף של הזן, המאפשר את ריבויו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שאינה מגינה על זני הסוג או המין הבוטני אשר אליו שייך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הזן המוגן, למעט יצוא כאמור למטרות צריכה."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4" w:type="pct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27077" w:rsidRPr="00975AF4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527077" w:rsidRDefault="00527077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19. בסעיף 57 לחוק העיקרי, במקום פסקה (2) יבוא: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לנצל זן רשום לצרכי מחקר, מדע או בדיקות מעבדתיות וכן לכל פעולה</w:t>
                        </w:r>
                      </w:p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הנעשית באופן פרטי שלא למטרות מסחריות."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527077" w:rsidRPr="00975AF4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38 לחוק העיקרי, בסעיף קטן (א) -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-בכפוף להוראות סעיפים 2 ו-4" יבוא "בכפוף להוראות סעיף 4";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(ו), במקום ''חמש-עשרה" יבוא "עשרים'';</w:t>
                        </w:r>
                      </w:p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במקום "שמונה-עשרה" יבוא "עשרים וחמש".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</w:t>
                        </w:r>
                      </w:p>
                    </w:tc>
                  </w:tr>
                  <w:tr w:rsidR="00527077" w:rsidRPr="00975AF4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39 לחוק העיקרי, במקום הסיפה החל במילים "אין חידוש בזן" יבוא "הזן אינו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עונה על הדרישות המנויות בסעיף 6, בי זכותו של אחר להירשם כבעל הזכות עדיפה על</w:t>
                        </w:r>
                      </w:p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זכותו של הבעל הרשום, או כי הפירוט אינו מתאים לתכונות הזן למעשה."</w:t>
                        </w:r>
                      </w:p>
                    </w:tc>
                    <w:tc>
                      <w:tcPr>
                        <w:tcW w:w="874" w:type="pct"/>
                      </w:tcPr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527077" w:rsidRPr="00975AF4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בסעיף 41 לחוק העיקרי -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ראתה המועצה כי בעל זבות מטפחים לא ניצל את הזן הרשום או שניצלו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ובתנאים שאינם לטובת הציבור, או מנע מבעל זן נגזר בעיקרו מנצל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הזן הנגזר, או היתנה רשותו לניצול הזן בתנאים שאינם לטובת הציבור,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היא, בהתייעצות עם הועדה לזכויות מטפחים, להרשות ניצול כאמור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שקבעה וללא הסכמת בעל הזכות.";</w:t>
                        </w:r>
                      </w:p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''חומר על הוריו" יבוא 'חומר ריבוי של הוריו'.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ו4</w:t>
                        </w:r>
                      </w:p>
                    </w:tc>
                  </w:tr>
                  <w:tr w:rsidR="00527077" w:rsidRPr="00975AF4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אחרי סעיף 62 לחוק העיקרי יבוא:</w:t>
                        </w:r>
                      </w:p>
                    </w:tc>
                    <w:tc>
                      <w:tcPr>
                        <w:tcW w:w="874" w:type="pct"/>
                      </w:tcPr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62א</w:t>
                        </w:r>
                      </w:p>
                    </w:tc>
                  </w:tr>
                  <w:tr w:rsidR="00527077">
                    <w:trPr>
                      <w:jc w:val="right"/>
                    </w:trPr>
                    <w:tc>
                      <w:tcPr>
                        <w:tcW w:w="3411" w:type="pct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בתביעה של בעל זן מקורי מוגן (להלן - התובע) כנגד בעל זן שנטען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כי הוא זן נגזר בעיקרו (להלן - הנתבע), על הנתבע חובת הראיה כי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הזן נגזר בעיקרו, אם הוכיח התובע אחד מאלה -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התאמה גנטית בין הזן המקורי המוגן לבין הזן שנטען כי הינו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נגזר בעיקרו-,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הזן שנטען כי הינו זן נגזר בעיקרו שומר, למעט הבדלים קלים,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ביטוי מאפיינים עיקריים הנובעים מן הגנוטיפ או משילובים של</w:t>
                        </w:r>
                      </w:p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הגנוטיפים של הזן המקורי המוגן."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-העברת חובת</w:t>
                        </w:r>
                      </w:p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</w:t>
                        </w:r>
                      </w:p>
                    </w:tc>
                    <w:tc>
                      <w:tcPr>
                        <w:tcW w:w="874" w:type="pct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27077" w:rsidRPr="00975AF4">
                    <w:trPr>
                      <w:jc w:val="right"/>
                    </w:trPr>
                    <w:tc>
                      <w:tcPr>
                        <w:tcW w:w="4126" w:type="pct"/>
                        <w:gridSpan w:val="2"/>
                      </w:tcPr>
                      <w:p w:rsidR="00527077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סעיף 64 לחוק העיקרי, אחרי "עילה שניתן על פיה להתנגד לרישום זכות מטפחים"</w:t>
                        </w:r>
                      </w:p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עילה כמפורט בסעיפים 29(א)(1) ו- 29א(א)(1)".</w:t>
                        </w:r>
                      </w:p>
                    </w:tc>
                    <w:tc>
                      <w:tcPr>
                        <w:tcW w:w="874" w:type="pct"/>
                      </w:tcPr>
                      <w:p w:rsidR="00527077" w:rsidRPr="00975AF4" w:rsidRDefault="0052707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64</w:t>
                        </w:r>
                      </w:p>
                    </w:tc>
                  </w:tr>
                </w:tbl>
                <w:p w:rsidR="00527077" w:rsidRDefault="0052707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A527C4" w:rsidRDefault="00A527C4">
      <w:pPr>
        <w:rPr>
          <w:rtl/>
        </w:rPr>
      </w:pPr>
      <w:r>
        <w:rPr>
          <w:rtl/>
        </w:rPr>
        <w:br w:type="page"/>
      </w:r>
    </w:p>
    <w:p w:rsidR="00A527C4" w:rsidRDefault="00000000">
      <w:pPr>
        <w:rPr>
          <w:rtl/>
        </w:rPr>
      </w:pPr>
      <w:r>
        <w:pict>
          <v:shape id="_x0000_s45007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5007" inset="0,0,0,0">
              <w:txbxContent>
                <w:p w:rsidR="00527077" w:rsidRDefault="00527077">
                  <w:r>
                    <w:rPr>
                      <w:rtl/>
                    </w:rPr>
                    <w:t>97                                          ספר החוקים 1564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08" o:spid="_x0000_s1042" type="#_x0000_t202" style="position:absolute;left:0;text-align:left;margin-left:361.4pt;margin-top:718.85pt;width:190.3pt;height:37.8pt;z-index:18;mso-position-horizontal-relative:page;mso-position-vertical-relative:page" stroked="f">
            <v:textbox style="mso-next-textbox:#_x0000_s45008" inset="0,0,0,0">
              <w:txbxContent>
                <w:p w:rsidR="00527077" w:rsidRDefault="0052707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5009" o:spid="_x0000_s1043" type="#_x0000_t202" style="position:absolute;left:0;text-align:left;margin-left:78.3pt;margin-top:66.2pt;width:474.2pt;height:627.65pt;z-index:17;mso-position-horizontal-relative:page;mso-position-vertical-relative:page" stroked="f">
            <v:textbox style="mso-next-textbox:#_x0000_s4500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5"/>
                    <w:gridCol w:w="5857"/>
                    <w:gridCol w:w="1259"/>
                  </w:tblGrid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70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בסעיף 70 לחוק העיקרי, במקום "לפי סעיף 29(ד)" יבוא "לפי סעיף 29(ה) או בבקשה</w:t>
                        </w:r>
                      </w:p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להכריז על בטלות לפי סעיף 29א(ד)"</w:t>
                        </w:r>
                      </w:p>
                    </w:tc>
                  </w:tr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71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בסעיף 71 לחוק העיקרי, במקום הרישה עד "תושב ישראל" יבוא "השר רשאי להורות</w:t>
                        </w:r>
                      </w:p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גם מי שאינו נמנה עם המפורטים בסעיף 5(ב)"</w:t>
                        </w:r>
                      </w:p>
                    </w:tc>
                  </w:tr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72 לחוק העיקרי -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האמור בו יסומן (א), ואחרי "הכל לפי המאוחר" יבוא "(להלן - תקופת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הקדימה)",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מגיש בקשה בהתאם להוראות סעיף קטן (א) יקבל, לפי בקשתו, ארכה של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ממועד סיום תקופת הקדימה, לצורך מסירת פרטים נוספים לפי סעיפים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ו- 21, נדחתה בקשת החוץ או הוסרה על ידי מגיש הבקשה, תינתן ארכה</w:t>
                        </w:r>
                      </w:p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זמן סביר ממועד הדחיה או הסרת הבקשה "</w:t>
                        </w:r>
                      </w:p>
                    </w:tc>
                  </w:tr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73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בסעיף 73 לחוק העיקרי, במקום "לגבי כל מדינה, בין שהיא מדינת האיגוד ובין</w:t>
                        </w:r>
                      </w:p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מדינת האיגוד" יבוא "לגבי מדינה שאינה מדינת האיגוד"</w:t>
                        </w:r>
                      </w:p>
                    </w:tc>
                  </w:tr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91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בסעיף 91(א) לחוק העיקרי, המספר "23' - יימחק</w:t>
                        </w:r>
                      </w:p>
                    </w:tc>
                  </w:tr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95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95(א) לחוק העיקרי, במקום "בקשה לזכות" יבוא "בקשה לרישום זכות"</w:t>
                        </w:r>
                      </w:p>
                    </w:tc>
                  </w:tr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96א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אחרי סעיף 96 לחוק העיקרי יבוא</w:t>
                        </w:r>
                      </w:p>
                    </w:tc>
                  </w:tr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7" w:type="pct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96א חומר ריבוי המצוי בידי המועצה לא יימסר לצד שלישי אלא על פי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המטפח שהמציאו למועצה או אם החליט על כך בית משפט אם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ראה שמן הצדק לעשות כן 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-מסירת חומר</w:t>
                        </w:r>
                      </w:p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ריבוי</w:t>
                        </w:r>
                      </w:p>
                    </w:tc>
                  </w:tr>
                  <w:tr w:rsidR="00527077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97(א) לחוק העיקרי, במקום "שהוגשה עליו בקשת זכות" יבוא "שהוגשה בשלו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לרישום זכות"</w:t>
                        </w:r>
                      </w:p>
                    </w:tc>
                  </w:tr>
                  <w:tr w:rsidR="00527077" w:rsidRPr="00A527C4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תחילתו של חוק זה, למעט סעיפים 2, 9, 11,10 ו-12 - 60 ימים מיום פרסומו.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36(א) עד (ד) לחוק העיקרי כנוסחו בסעיף 17 לחוק זה, יחולו על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מטפחים שנרשמה בספר הזכויות לאחר תחילתו של חוק זה; הוראות סעיף 36 כנוסחו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תחילתו של חוק זה, יחולו על זבות מטפחים שהיתה רשומה בספר הזכויות ערב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36(ה) לחוק העיקרי כנוסחו בסעיף 17 לחוק זה, יחולו גם על זכות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מטפחים שנרשמה לפני תחילת החוק, אך לא יחולו על זן שנגזר בעיקרו, שהיה רשום בספר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הזכויות ערב תחילתו של חוק זה או שבקשה לרישומו הוגשה לפני תחילתו, ובלבד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שהסתיימה ברישום הזכות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38(א) לחוק העיקרי כנוסחו לפי סעיף 20(2) ו-(3) לחוק זה, יחולו</w:t>
                        </w:r>
                      </w:p>
                      <w:p w:rsidR="00527077" w:rsidRPr="00A527C4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זכויות שבעת תחילתו של חוק זה היו קיימות לפי סעיף 38 לחוק העיקרי</w:t>
                        </w:r>
                      </w:p>
                    </w:tc>
                  </w:tr>
                  <w:tr w:rsidR="00527077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(א) הוראות סעיפים 22(א) ו-26(ב) לחוק העיקרי כנוסחם לפי סעיפים 9 ו- 11 לחוק</w:t>
                        </w:r>
                      </w:p>
                      <w:p w:rsidR="00527077" w:rsidRDefault="0052707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בהתאמה, יחולו גם לגבי בקשה שהוגשה לפני פרסומו של חוק זה.</w:t>
                        </w:r>
                      </w:p>
                    </w:tc>
                  </w:tr>
                </w:tbl>
                <w:p w:rsidR="00527077" w:rsidRDefault="0052707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27077" w:rsidRDefault="00527077">
      <w:pPr>
        <w:rPr>
          <w:rtl/>
        </w:rPr>
      </w:pPr>
      <w:r>
        <w:rPr>
          <w:rtl/>
        </w:rPr>
        <w:br w:type="page"/>
      </w:r>
    </w:p>
    <w:p w:rsidR="00527077" w:rsidRDefault="00000000">
      <w:pPr>
        <w:rPr>
          <w:rtl/>
        </w:rPr>
      </w:pPr>
      <w:r>
        <w:pict>
          <v:shape id="_x0000_s45010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5010" inset="0,0,0,0">
              <w:txbxContent>
                <w:p w:rsidR="00527077" w:rsidRDefault="00527077">
                  <w:r>
                    <w:rPr>
                      <w:rtl/>
                    </w:rPr>
                    <w:t>98                                          ספר החוקים 1564                    ג' באדר התשנ"ו 23.02.1996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11" o:spid="_x0000_s1045" type="#_x0000_t202" style="position:absolute;left:0;text-align:left;margin-left:91.7pt;margin-top:708.35pt;width:222.95pt;height:45.55pt;z-index:25;mso-position-horizontal-relative:page;mso-position-vertical-relative:page" stroked="f">
            <v:textbox style="mso-next-textbox:#_x0000_s45011" inset="0,0,0,0">
              <w:txbxContent>
                <w:p w:rsidR="00527077" w:rsidRDefault="0052707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5012" o:spid="_x0000_s1046" type="#_x0000_t202" style="position:absolute;left:0;text-align:left;margin-left:107.3pt;margin-top:139.3pt;width:75.65pt;height:35.25pt;z-index:24;mso-position-horizontal-relative:page;mso-position-vertical-relative:page" stroked="f">
            <v:textbox style="mso-next-textbox:#_x0000_s45012" inset="0,0,0,0">
              <w:txbxContent>
                <w:p w:rsidR="00527077" w:rsidRDefault="00527077">
                  <w:pPr>
                    <w:pStyle w:val="OCRStyle7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527077" w:rsidRDefault="00527077">
                  <w:pPr>
                    <w:pStyle w:val="OCRStyle7"/>
                    <w:ind w:left="122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13" o:spid="_x0000_s1047" type="#_x0000_t202" style="position:absolute;left:0;text-align:left;margin-left:193.25pt;margin-top:160.9pt;width:89.7pt;height:42.95pt;z-index:23;mso-position-horizontal-relative:page;mso-position-vertical-relative:page" stroked="f">
            <v:textbox style="mso-next-textbox:#_x0000_s45013" inset="0,0,0,0">
              <w:txbxContent>
                <w:p w:rsidR="00527077" w:rsidRDefault="00527077">
                  <w:pPr>
                    <w:pStyle w:val="OCRStyle7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27077" w:rsidRDefault="00527077">
                  <w:pPr>
                    <w:pStyle w:val="OCRStyle7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14" o:spid="_x0000_s1048" type="#_x0000_t202" style="position:absolute;left:0;text-align:left;margin-left:288.9pt;margin-top:134.95pt;width:80pt;height:39.6pt;z-index:22;mso-position-horizontal-relative:page;mso-position-vertical-relative:page" stroked="f">
            <v:textbox style="mso-next-textbox:#_x0000_s45014" inset="0,0,0,0">
              <w:txbxContent>
                <w:p w:rsidR="00527077" w:rsidRDefault="00527077">
                  <w:pPr>
                    <w:pStyle w:val="OCRStyle7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27077" w:rsidRDefault="00527077">
                  <w:pPr>
                    <w:pStyle w:val="OCRStyle7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15" o:spid="_x0000_s1049" type="#_x0000_t202" style="position:absolute;left:0;text-align:left;margin-left:389.65pt;margin-top:160.9pt;width:67.9pt;height:45.55pt;z-index:21;mso-position-horizontal-relative:page;mso-position-vertical-relative:page" stroked="f">
            <v:textbox style="mso-next-textbox:#_x0000_s45015" inset="0,0,0,0">
              <w:txbxContent>
                <w:p w:rsidR="00527077" w:rsidRDefault="00527077">
                  <w:pPr>
                    <w:pStyle w:val="OCRStyle7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27077" w:rsidRDefault="00527077">
                  <w:pPr>
                    <w:pStyle w:val="OCRStyle7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16" o:spid="_x0000_s1050" type="#_x0000_t202" style="position:absolute;left:0;text-align:left;margin-left:92.65pt;margin-top:79.1pt;width:397.6pt;height:52.45pt;z-index:20;mso-position-horizontal-relative:page;mso-position-vertical-relative:page" stroked="f">
            <v:textbox style="mso-next-textbox:#_x0000_s45016" inset="0,0,0,0">
              <w:txbxContent>
                <w:p w:rsidR="00527077" w:rsidRDefault="00527077">
                  <w:pPr>
                    <w:pStyle w:val="OCRStyle7"/>
                    <w:ind w:left="842"/>
                    <w:rPr>
                      <w:rtl/>
                    </w:rPr>
                  </w:pPr>
                  <w:r>
                    <w:rPr>
                      <w:rtl/>
                    </w:rPr>
                    <w:t>(ב) הוראות סעיפים 23(א) ו-27 לחוק העיקרי כנוסחם לפי סעיפים 10 ו- 12 לחוק זה,</w:t>
                  </w:r>
                </w:p>
                <w:p w:rsidR="00527077" w:rsidRDefault="00527077">
                  <w:pPr>
                    <w:pStyle w:val="OCRStyle7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בהתאמה, יחולו גם על הגשת התנגדות לבקשה שפורסמה לפני פרסומו של חוק זה, אם</w:t>
                  </w:r>
                </w:p>
                <w:p w:rsidR="00527077" w:rsidRDefault="00527077">
                  <w:pPr>
                    <w:pStyle w:val="OCRStyle7"/>
                    <w:ind w:left="342"/>
                  </w:pPr>
                  <w:r>
                    <w:rPr>
                      <w:rtl/>
                    </w:rPr>
                    <w:t>המועד להגשת התנגדות לפי החוק העיקרי, כנוסחו ערב פרסומו של חוק זה, טרם עבר.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07E0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E7BF08-8797-4F06-81ED-E2CEAE84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7E0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338A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C11B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9141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75AF4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527C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270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2008-04-07T10:06:00Z</dcterms:created>
  <dcterms:modified xsi:type="dcterms:W3CDTF">2008-04-07T10:07:00Z</dcterms:modified>
</cp:coreProperties>
</file>