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6C52" w:rsidRDefault="00866C52">
      <w:pPr>
        <w:rPr>
          <w:rtl/>
        </w:rPr>
      </w:pPr>
    </w:p>
    <w:p w:rsidR="00866C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01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017" inset="0,0,0,0">
              <w:txbxContent>
                <w:p w:rsidR="00866C52" w:rsidRDefault="00866C52">
                  <w:r>
                    <w:rPr>
                      <w:rtl/>
                    </w:rPr>
                    <w:t>88                                          ספר החוקים 1563                    ג' באדר התשנ"ו 23.02.1996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18" o:spid="_x0000_s1026" type="#_x0000_t202" style="position:absolute;left:0;text-align:left;margin-left:101.9pt;margin-top:493.75pt;width:374.4pt;height:49.9pt;z-index:7;mso-position-horizontal-relative:page;mso-position-vertical-relative:page" stroked="f">
            <v:textbox style="mso-next-textbox:#_x0000_s45018" inset="0,0,0,0">
              <w:txbxContent>
                <w:p w:rsidR="00866C52" w:rsidRDefault="00866C52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כ-ג בשבט התשנ"ו (13 בפברואר 1996); הצעת החוק ודברי ההסבר פורסמו בהצעות</w:t>
                  </w:r>
                </w:p>
                <w:p w:rsidR="00866C52" w:rsidRDefault="00866C52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חוק 2278, מיום ד' בתמוז התשנ"ו (13 ביוני 1994), עמ' 486.</w:t>
                  </w:r>
                </w:p>
                <w:p w:rsidR="00866C52" w:rsidRDefault="00866C52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1 ס"ח התשכ"ז, עמ' 116; התשנ-ו, ענד 70.</w:t>
                  </w:r>
                </w:p>
                <w:p w:rsidR="00866C52" w:rsidRPr="00866C52" w:rsidRDefault="00866C52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2 ס"ח התשנ"ד, עמ' 294.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19" o:spid="_x0000_s1027" type="#_x0000_t202" style="position:absolute;left:0;text-align:left;margin-left:115.55pt;margin-top:434.35pt;width:70.7pt;height:25.95pt;z-index:6;mso-position-horizontal-relative:page;mso-position-vertical-relative:page" stroked="f">
            <v:textbox style="mso-next-textbox:#_x0000_s45019" inset="0,0,0,0">
              <w:txbxContent>
                <w:p w:rsidR="00866C52" w:rsidRDefault="00866C52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866C52" w:rsidRDefault="00866C52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20" o:spid="_x0000_s1028" type="#_x0000_t202" style="position:absolute;left:0;text-align:left;margin-left:202.65pt;margin-top:455.15pt;width:79.2pt;height:35.25pt;z-index:5;mso-position-horizontal-relative:page;mso-position-vertical-relative:page" stroked="f">
            <v:textbox style="mso-next-textbox:#_x0000_s45020" inset="0,0,0,0">
              <w:txbxContent>
                <w:p w:rsidR="00866C52" w:rsidRDefault="00866C52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66C52" w:rsidRDefault="00866C52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21" o:spid="_x0000_s1029" type="#_x0000_t202" style="position:absolute;left:0;text-align:left;margin-left:293.75pt;margin-top:434.35pt;width:80.2pt;height:24.95pt;z-index:4;mso-position-horizontal-relative:page;mso-position-vertical-relative:page" stroked="f">
            <v:textbox style="mso-next-textbox:#_x0000_s45021" inset="0,0,0,0">
              <w:txbxContent>
                <w:p w:rsidR="00866C52" w:rsidRDefault="00866C52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66C52" w:rsidRDefault="00866C52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22" o:spid="_x0000_s1030" type="#_x0000_t202" style="position:absolute;left:0;text-align:left;margin-left:391.95pt;margin-top:458.5pt;width:78.4pt;height:31.9pt;z-index:3;mso-position-horizontal-relative:page;mso-position-vertical-relative:page" stroked="f">
            <v:textbox style="mso-next-textbox:#_x0000_s45022" inset="0,0,0,0">
              <w:txbxContent>
                <w:p w:rsidR="00866C52" w:rsidRDefault="00866C52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66C52" w:rsidRDefault="00866C52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23" o:spid="_x0000_s1031" type="#_x0000_t202" style="position:absolute;left:0;text-align:left;margin-left:98.5pt;margin-top:103.9pt;width:452.65pt;height:330.25pt;z-index:2;mso-position-horizontal-relative:page;mso-position-vertical-relative:page" stroked="f">
            <v:textbox style="mso-next-textbox:#_x0000_s4502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3"/>
                    <w:gridCol w:w="1256"/>
                  </w:tblGrid>
                  <w:tr w:rsidR="00866C52" w:rsidRPr="00866C52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866C52" w:rsidRDefault="00866C5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ההוצאה לפועל, התשכ'ז-1967 1 (להלן - החוק העיקרי), בסעיף 69, בסופו</w:t>
                        </w:r>
                      </w:p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-(ה) הוראות סעיף קטן (ד) יחולו, בשינויים המחויבים, על מזונות שנפסקו בשל</w:t>
                        </w:r>
                      </w:p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שקדמה למתן פסק הדין או על תשלומי מזונות שהצטברו בשל אי פרעון</w:t>
                        </w:r>
                      </w:p>
                      <w:p w:rsidR="00866C52" w:rsidRP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במועד, והבל מטעמים מיוחדים שיירשמו."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66C52" w:rsidRP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69</w:t>
                        </w:r>
                      </w:p>
                    </w:tc>
                  </w:tr>
                  <w:tr w:rsidR="00866C52" w:rsidRPr="00866C52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70 לחוק העיקרי, בסעיף קטן (ד), במקום 'לא יאוחר מתום 72 שעות- יבוא</w:t>
                        </w:r>
                      </w:p>
                      <w:p w:rsidR="00866C52" w:rsidRP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"בהקדם האפשרי ולא יאוחר מתום 48 שעות-.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66C52" w:rsidRP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866C52" w:rsidRPr="00866C52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74 לחוק העיקרי -</w:t>
                        </w:r>
                      </w:p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המילים -אם נתברר לו כי אין דרך אחרת לאלץ את החייב לשלם</w:t>
                        </w:r>
                      </w:p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החוב- - יימחקו;</w:t>
                        </w:r>
                      </w:p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-(ג) נתן ראש ההוצאה לפועל צו מאסר לפי סעיף קטן (א), לא יבוצע צו</w:t>
                        </w:r>
                      </w:p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המאסר, אלא לאחר שנשלחה התראה לחייב.</w:t>
                        </w:r>
                      </w:p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חייב שנאסר יובא בפני ראש ההוצאה לפועל בהקדם האפשרי ולא יאוחר</w:t>
                        </w:r>
                      </w:p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48 שעות ממועד מאסרו-, ראש ההוצאה לפועל רשאי, מטעמים מיוחדים</w:t>
                        </w:r>
                      </w:p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 ולאחר שנתן לחייב הזדמנות לטעון טענותיו בפניו, לבטל את צו</w:t>
                        </w:r>
                      </w:p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 או לקצר את תקופת המאסר, בתנאים שייראו לו, ולתת כל החלטה</w:t>
                        </w:r>
                      </w:p>
                      <w:p w:rsidR="00866C52" w:rsidRP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שתיראה לו בנסיבות הענין.'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66C52" w:rsidRP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866C52" w:rsidRPr="00866C52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866C52" w:rsidRP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ההוצאה לפועל (תיקון מס' 15), התשנ'ד-21994, סעיף 33 - בטל.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</w:t>
                        </w:r>
                      </w:p>
                      <w:p w:rsidR="00866C52" w:rsidRPr="00866C52" w:rsidRDefault="00866C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05</w:t>
                        </w:r>
                      </w:p>
                    </w:tc>
                  </w:tr>
                </w:tbl>
                <w:p w:rsidR="00866C52" w:rsidRDefault="00866C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024" o:spid="_x0000_s1032" type="#_x0000_t202" style="position:absolute;left:0;text-align:left;margin-left:139.7pt;margin-top:77.95pt;width:294.45pt;height:24.95pt;z-index:1;mso-position-horizontal-relative:page;mso-position-vertical-relative:page" stroked="f">
            <v:textbox style="mso-next-textbox:#_x0000_s45024" inset="0,0,0,0">
              <w:txbxContent>
                <w:p w:rsidR="00866C52" w:rsidRPr="00866C52" w:rsidRDefault="00866C52">
                  <w:pPr>
                    <w:pStyle w:val="OCRStyle1"/>
                    <w:ind w:left="2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ההוצאה לפועל (תיקון מס' 18),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66C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4B3A40-5170-43D3-94AA-2F2ACEE62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6C5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2008-04-07T10:06:00Z</dcterms:created>
  <dcterms:modified xsi:type="dcterms:W3CDTF">2008-04-07T10:06:00Z</dcterms:modified>
</cp:coreProperties>
</file>