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3D84" w:rsidRDefault="00F53D84">
      <w:pPr>
        <w:rPr>
          <w:rtl/>
        </w:rPr>
      </w:pPr>
    </w:p>
    <w:p w:rsidR="00F53D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0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057" inset="0,0,0,0">
              <w:txbxContent>
                <w:p w:rsidR="007B1269" w:rsidRDefault="007B1269">
                  <w:r>
                    <w:rPr>
                      <w:rtl/>
                    </w:rPr>
                    <w:t>85                                          ספר החוקים 1562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8" o:spid="_x0000_s1026" type="#_x0000_t202" style="position:absolute;left:0;text-align:left;margin-left:159.35pt;margin-top:668pt;width:389.85pt;height:84.55pt;z-index:3;mso-position-horizontal-relative:page;mso-position-vertical-relative:page" stroked="f">
            <v:textbox style="mso-next-textbox:#_x0000_s45058" inset="0,0,0,0">
              <w:txbxContent>
                <w:p w:rsidR="007B1269" w:rsidRDefault="007B126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בשבט התשנ"ו (6 בפברואר  1996): הצעת החוק ודברי ההסבר פורסמו בהצעת</w:t>
                  </w:r>
                </w:p>
                <w:p w:rsidR="007B1269" w:rsidRDefault="007B1269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חוק 2424, מיום י''ט בתמוז התשנ"ה (17 ביולי 1995), עמ' 571.</w:t>
                  </w:r>
                </w:p>
                <w:p w:rsidR="007B1269" w:rsidRDefault="007B1269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התשנ"ג, עמ' 146; התשנ"ד,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59" o:spid="_x0000_s1027" type="#_x0000_t202" style="position:absolute;left:0;text-align:left;margin-left:99.15pt;margin-top:127.45pt;width:457.95pt;height:535.4pt;z-index:2;mso-position-horizontal-relative:page;mso-position-vertical-relative:page" stroked="f">
            <v:textbox style="mso-next-textbox:#_x0000_s4505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146"/>
                  </w:tblGrid>
                  <w:tr w:rsidR="007B1269" w:rsidRPr="00F53D84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7B1269" w:rsidRDefault="007B126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הרשויות המקומיות (מימון בחירות), התשנ'ג-1993 1( להלן - החוק העיקרי),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7 -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סכום מימון אשר כל סיעה או רשימה ברשות מקומית פלונית זכאית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יהיה אחד מאלה: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זכתה סיעה או רשימה במנדט אחד לפחות - סכום המימון על פי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מחולק במספר חברי המועצה שנבחרו באותה רשות ומוכפל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נציגי הסיעה או הרשימה שנבחרו;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זכתה סיעה או רשימה במנדט אחד אך זכתה בלמעלה מ-50%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מהמודד כאמור בסעיף 67(3) לחוק הבחירות - 60% מהמנה המתקבלת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מחלוקת סכום המימון על פי סעיף 6 במספר חברי המועצה שנבחרו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רשות.'';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הרישה יבוא ''סכום המימון המגיע לסיעה או לרשימה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ישולם לה כלהלן:'';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היו הוצאות הבחירות של סיעה או רשימה נמוכות מהסכומים המגיעים</w:t>
                        </w:r>
                      </w:p>
                      <w:p w:rsidR="007B1269" w:rsidRPr="00F53D84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לפי חוק זה, תוחזר היתרה לאוצר המדינה.''</w:t>
                        </w:r>
                      </w:p>
                    </w:tc>
                  </w:tr>
                  <w:tr w:rsidR="007B1269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בסעיף קטן )א(, במקום ''סעיף 7(א)" יבוא ''סעיף 7(א)(1)''.</w:t>
                        </w:r>
                      </w:p>
                    </w:tc>
                  </w:tr>
                  <w:tr w:rsidR="007B1269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העיקרי, בסעיף קטן (א), במקום הסיפה המתחילה במילים ''וכן יעשה''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''וכן יעשה אם הסיעה או הרשימה לא זכתה בלמעלה מ-50% מהמודד כאמור בסעיף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67(3) לחוק הבחירות''.</w:t>
                        </w:r>
                      </w:p>
                    </w:tc>
                  </w:tr>
                  <w:tr w:rsidR="007B1269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21 לחוק העיקרי -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''במנדט אחד לפחות'' יבוא "וכן כל רשימה שקיבלה מימון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7(א)(2)'';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''במנדט אחד לפחות" יבוא ''וכן כל רשימה שקיבלה מימון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(א)(2)''.</w:t>
                        </w:r>
                      </w:p>
                    </w:tc>
                  </w:tr>
                  <w:tr w:rsidR="007B1269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26 לחוק העיקרי -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''לסיעה ולחובותיה" יבוא ''למעט סעיף 7(ג)";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פסקה (2) יבוא: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זכתה סיעת בת או רשימת בת בלמעלה מ-50% מהמודד כאמור בסעיף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67(3) לחוק הבחירות אך לא זכתה במנדט, תהיה זכאית לסכומים המגיעים לה</w:t>
                        </w:r>
                      </w:p>
                      <w:p w:rsidR="007B1269" w:rsidRDefault="007B1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0ו(א) כאילו היתה סיעה בעלת מנדט אחד במועצה היוצאת.-</w:t>
                        </w:r>
                      </w:p>
                    </w:tc>
                  </w:tr>
                </w:tbl>
                <w:p w:rsidR="007B1269" w:rsidRDefault="007B12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60" o:spid="_x0000_s1028" type="#_x0000_t202" style="position:absolute;left:0;text-align:left;margin-left:180.9pt;margin-top:84.5pt;width:348.5pt;height:35.25pt;z-index:1;mso-position-horizontal-relative:page;mso-position-vertical-relative:page" stroked="f">
            <v:textbox style="mso-next-textbox:#_x0000_s45060" inset="0,0,0,0">
              <w:txbxContent>
                <w:p w:rsidR="007B1269" w:rsidRDefault="007B1269">
                  <w:pPr>
                    <w:pStyle w:val="OCRStyle1"/>
                    <w:ind w:left="1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 (תיקון מס' 3 והוראת שעה),</w:t>
                  </w:r>
                </w:p>
                <w:p w:rsidR="007B1269" w:rsidRPr="00F53D84" w:rsidRDefault="007B1269">
                  <w:pPr>
                    <w:pStyle w:val="OCRStyle1"/>
                    <w:ind w:left="24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7B1269" w:rsidRDefault="007B1269">
      <w:pPr>
        <w:rPr>
          <w:rtl/>
        </w:rPr>
      </w:pPr>
      <w:r>
        <w:rPr>
          <w:rtl/>
        </w:rPr>
        <w:br w:type="page"/>
      </w:r>
    </w:p>
    <w:p w:rsidR="007B1269" w:rsidRDefault="00000000">
      <w:pPr>
        <w:rPr>
          <w:rtl/>
        </w:rPr>
      </w:pPr>
      <w:r>
        <w:pict>
          <v:shape id="_x0000_s4506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061" inset="0,0,0,0">
              <w:txbxContent>
                <w:p w:rsidR="007B1269" w:rsidRDefault="007B1269">
                  <w:r>
                    <w:rPr>
                      <w:rtl/>
                    </w:rPr>
                    <w:t>86                                          ספר החוקים 1562                   כ"ה בשבט התשנ"ו 15.02.1996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2" o:spid="_x0000_s1030" type="#_x0000_t202" style="position:absolute;left:0;text-align:left;margin-left:91.75pt;margin-top:697.8pt;width:218.6pt;height:56.85pt;z-index:10;mso-position-horizontal-relative:page;mso-position-vertical-relative:page" stroked="f">
            <v:textbox style="mso-next-textbox:#_x0000_s45062" inset="0,0,0,0">
              <w:txbxContent>
                <w:p w:rsidR="007B1269" w:rsidRDefault="007B1269">
                  <w:pPr>
                    <w:pStyle w:val="OCRStyle2"/>
                    <w:rPr>
                      <w:rtl/>
                    </w:rPr>
                  </w:pPr>
                </w:p>
                <w:p w:rsidR="007B1269" w:rsidRDefault="007B1269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3" o:spid="_x0000_s1031" type="#_x0000_t202" style="position:absolute;left:0;text-align:left;margin-left:108.2pt;margin-top:126.15pt;width:67.9pt;height:33.45pt;z-index:9;mso-position-horizontal-relative:page;mso-position-vertical-relative:page" stroked="f">
            <v:textbox style="mso-next-textbox:#_x0000_s45063" inset="0,0,0,0">
              <w:txbxContent>
                <w:p w:rsidR="007B1269" w:rsidRDefault="007B1269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דמון</w:t>
                  </w:r>
                </w:p>
                <w:p w:rsidR="007B1269" w:rsidRDefault="007B1269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4" o:spid="_x0000_s1032" type="#_x0000_t202" style="position:absolute;left:0;text-align:left;margin-left:192.55pt;margin-top:154.45pt;width:94.65pt;height:41.4pt;z-index:8;mso-position-horizontal-relative:page;mso-position-vertical-relative:page" stroked="f">
            <v:textbox style="mso-next-textbox:#_x0000_s45064" inset="0,0,0,0">
              <w:txbxContent>
                <w:p w:rsidR="007B1269" w:rsidRDefault="007B1269">
                  <w:pPr>
                    <w:pStyle w:val="OCRStyle2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B1269" w:rsidRDefault="007B1269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5" o:spid="_x0000_s1033" type="#_x0000_t202" style="position:absolute;left:0;text-align:left;margin-left:287.15pt;margin-top:127.75pt;width:82.55pt;height:31.1pt;z-index:7;mso-position-horizontal-relative:page;mso-position-vertical-relative:page" stroked="f">
            <v:textbox style="mso-next-textbox:#_x0000_s45065" inset="0,0,0,0">
              <w:txbxContent>
                <w:p w:rsidR="007B1269" w:rsidRDefault="007B1269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B1269" w:rsidRDefault="007B1269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6" o:spid="_x0000_s1034" type="#_x0000_t202" style="position:absolute;left:0;text-align:left;margin-left:379.25pt;margin-top:151.9pt;width:82.75pt;height:37.8pt;z-index:6;mso-position-horizontal-relative:page;mso-position-vertical-relative:page" stroked="f">
            <v:textbox style="mso-next-textbox:#_x0000_s45066" inset="0,0,0,0">
              <w:txbxContent>
                <w:p w:rsidR="007B1269" w:rsidRDefault="007B1269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1269" w:rsidRDefault="007B1269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67" o:spid="_x0000_s1035" type="#_x0000_t202" style="position:absolute;left:0;text-align:left;margin-left:91.75pt;margin-top:76.25pt;width:459.75pt;height:44.75pt;z-index:5;mso-position-horizontal-relative:page;mso-position-vertical-relative:page" stroked="f">
            <v:textbox style="mso-next-textbox:#_x0000_s450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202"/>
                  </w:tblGrid>
                  <w:tr w:rsidR="007B1269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7B1269" w:rsidRDefault="007B1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סעיף 26(1)(2) לחוק העיקרי, כנוסחו בסעיף 8)2( לחוק זח, ביום תחילתו</w:t>
                        </w:r>
                      </w:p>
                      <w:p w:rsidR="007B1269" w:rsidRDefault="007B1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 העיקרי והוא יעמוד בתוקפו עד יום א' בטבת התשנ"ז (31 בדצמבר 1996).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7B1269" w:rsidRDefault="007B1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7B1269" w:rsidRDefault="007B12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3D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44FAFB-9CA4-4078-A88F-33E2425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3D8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B12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2008-04-07T10:06:00Z</dcterms:created>
  <dcterms:modified xsi:type="dcterms:W3CDTF">2008-04-07T10:06:00Z</dcterms:modified>
</cp:coreProperties>
</file>