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231A" w:rsidRDefault="00C5231A">
      <w:pPr>
        <w:rPr>
          <w:rtl/>
        </w:rPr>
      </w:pPr>
    </w:p>
    <w:p w:rsidR="00C523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0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068" inset="0,0,0,0">
              <w:txbxContent>
                <w:p w:rsidR="00953B7F" w:rsidRDefault="00953B7F">
                  <w:r>
                    <w:rPr>
                      <w:rtl/>
                    </w:rPr>
                    <w:t>76                                          ספר החוקים 1561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69" o:spid="_x0000_s1026" type="#_x0000_t202" style="position:absolute;left:0;text-align:left;margin-left:82.75pt;margin-top:616.25pt;width:406.7pt;height:126.3pt;z-index:3;mso-position-horizontal-relative:page;mso-position-vertical-relative:page" stroked="f">
            <v:textbox style="mso-next-textbox:#_x0000_s45069" inset="0,0,0,0">
              <w:txbxContent>
                <w:p w:rsidR="00953B7F" w:rsidRDefault="00953B7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בשבט התשנ-ו (6 בפברואר 0996; הצעת החוק ודברי ההסבר פורסמו בהצעות</w:t>
                  </w:r>
                </w:p>
                <w:p w:rsidR="00953B7F" w:rsidRDefault="00953B7F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חוק 2458, מיום י"ח בכסלו התשנ"ו (11 בדצמבר 1995), עמ' 269 ובהצעות חוק 2478, מיום כ'ג בטבת</w:t>
                  </w:r>
                </w:p>
                <w:p w:rsidR="00953B7F" w:rsidRDefault="00953B7F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התשנ-ו (5ו בינואר 996ו), עמ, 7ו4.</w:t>
                  </w:r>
                </w:p>
                <w:p w:rsidR="00953B7F" w:rsidRDefault="00953B7F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ס"ח התש"ן, עמ' 26.</w:t>
                  </w:r>
                </w:p>
                <w:p w:rsidR="00953B7F" w:rsidRDefault="00953B7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2 ס-ח התשנ-ג, עמ' 10.</w:t>
                  </w:r>
                </w:p>
                <w:p w:rsidR="00953B7F" w:rsidRDefault="00953B7F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3 ס"ח התשנ"ב, עמ' 230.</w:t>
                  </w:r>
                </w:p>
                <w:p w:rsidR="00953B7F" w:rsidRPr="00C5231A" w:rsidRDefault="00953B7F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4 ס"ח התשל"ח, עמ'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70" o:spid="_x0000_s1027" type="#_x0000_t202" style="position:absolute;left:0;text-align:left;margin-left:82.75pt;margin-top:98.25pt;width:476.8pt;height:516.4pt;z-index:2;mso-position-horizontal-relative:page;mso-position-vertical-relative:page" stroked="f">
            <v:textbox style="mso-next-textbox:#_x0000_s450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6"/>
                    <w:gridCol w:w="1319"/>
                    <w:gridCol w:w="1474"/>
                  </w:tblGrid>
                  <w:tr w:rsidR="00953B7F" w:rsidRPr="00C5231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953B7F" w:rsidRDefault="00953B7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ו, במקום סעיף ו לחוק האזרחים הותיקים, התש"ן-1989 1 (להלן - החוק העיקרי),</w:t>
                        </w:r>
                      </w:p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-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ו</w:t>
                        </w: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א': פרשנות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בחוק זה -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'אזרח ותיק'' - תושב ישראל שמלאו לו, לפי הרישום במרשם האוכלוסין,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- 65 שנים, ובאשה - 60 שנים (להלן - הגיל הקובע);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'תחומי הנחות'' -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אגרה בעד החזקת מקלט טלוויזיה;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 ארנונה כללית כמשמעותה לפי חוק הסדרים במשק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(תיקוני חקיקה להשגת יעדי התקציב), התשנ'ג-1992 2,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המשולמת לפי כל דין (להלן - תשלומי ארנונה);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דמי נסיעה באוטובוסים וברכבות של התחבורה הציבורית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תחבורה ציבורית);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דמי כניסה לגנים לאומיים ולשמורות טבע כהגדרתם בחוק גנים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שמורות טבע, אתרים לאומיים ואתרי הנצחה, התשנ''ב-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 3, ולמקום מוסדר כמשמעותו בסעיף 42 לחוק העתיקות,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התשל''ח-1978 4 (להלן - דמי כניסה לגנים ולאתרים);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דמי כניסה לתערוכות, למוזיאונים ולמופעי תרבות ואמנות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דמי כניסה למופעים);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תשלומים בעד תרופות;</w:t>
                        </w:r>
                      </w:p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-השר' - שר העבודה והרווחה.''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53B7F" w:rsidRPr="00C5231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לפני סעיף 2 לחוק העיקרי תבוא הכותרת-.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סעיף 2</w:t>
                        </w: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ב': תעודת אזרח ותיק והמועצה''.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53B7F" w:rsidRPr="00C5231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 לחוק העיקרי יבוא: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משרד העבודה והרווחה יתן תעודת אזרח ותיק לכל תושב ישראל</w:t>
                        </w:r>
                      </w:p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בהגיעו לגיל הקובע.''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"תעודה לאזרח</w:t>
                        </w:r>
                      </w:p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53B7F" w:rsidRPr="00C5231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953B7F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 לחוק העיקרי, במקום 'ראש הממשלה' יבוא 'השר' ובמקום ''לראש</w:t>
                        </w:r>
                      </w:p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הממשלה' יבוא 'לשר".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953B7F" w:rsidRPr="00C5231A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 לחוק העיקרי, בבל מקום, במקום "ראש הממשלה" יבוא 'השר".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953B7F" w:rsidRPr="00C5231A" w:rsidRDefault="00953B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953B7F" w:rsidRDefault="00953B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71" o:spid="_x0000_s1028" type="#_x0000_t202" style="position:absolute;left:0;text-align:left;margin-left:134.8pt;margin-top:74.3pt;width:273.05pt;height:22.95pt;z-index:1;mso-position-horizontal-relative:page;mso-position-vertical-relative:page" stroked="f">
            <v:textbox style="mso-next-textbox:#_x0000_s45071" inset="0,0,0,0">
              <w:txbxContent>
                <w:p w:rsidR="00953B7F" w:rsidRPr="00C5231A" w:rsidRDefault="00953B7F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האזרחים הותיקים (תיקון), התשנ"ו-1996*</w:t>
                  </w:r>
                </w:p>
              </w:txbxContent>
            </v:textbox>
            <w10:wrap anchorx="page" anchory="page"/>
          </v:shape>
        </w:pict>
      </w:r>
    </w:p>
    <w:p w:rsidR="00490069" w:rsidRDefault="00490069">
      <w:pPr>
        <w:rPr>
          <w:rtl/>
        </w:rPr>
      </w:pPr>
      <w:r>
        <w:rPr>
          <w:rtl/>
        </w:rPr>
        <w:br w:type="page"/>
      </w:r>
    </w:p>
    <w:p w:rsidR="00490069" w:rsidRDefault="00000000">
      <w:pPr>
        <w:rPr>
          <w:rtl/>
        </w:rPr>
      </w:pPr>
      <w:r>
        <w:pict>
          <v:shape id="_x0000_s4507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072" inset="0,0,0,0">
              <w:txbxContent>
                <w:p w:rsidR="00953B7F" w:rsidRDefault="00953B7F">
                  <w:r>
                    <w:rPr>
                      <w:rtl/>
                    </w:rPr>
                    <w:t>77                                          ספר החוקים 1561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73" o:spid="_x0000_s1030" type="#_x0000_t202" style="position:absolute;left:0;text-align:left;margin-left:325.7pt;margin-top:667.4pt;width:245.3pt;height:78.4pt;z-index:6;mso-position-horizontal-relative:page;mso-position-vertical-relative:page" stroked="f">
            <v:textbox style="mso-next-textbox:#_x0000_s45073" inset="0,0,0,0">
              <w:txbxContent>
                <w:p w:rsidR="00953B7F" w:rsidRDefault="00953B7F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5 ס-ח התשכ"ה, עמ' 106.</w:t>
                  </w:r>
                </w:p>
                <w:p w:rsidR="00953B7F" w:rsidRPr="00490069" w:rsidRDefault="00953B7F">
                  <w:pPr>
                    <w:pStyle w:val="OCRStyle2"/>
                    <w:ind w:left="594"/>
                  </w:pPr>
                  <w:r>
                    <w:rPr>
                      <w:rtl/>
                    </w:rPr>
                    <w:t>* ס-ח התשמ''א, עמ' .74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74" o:spid="_x0000_s1031" type="#_x0000_t202" style="position:absolute;left:0;text-align:left;margin-left:93.25pt;margin-top:60.95pt;width:466.1pt;height:603.3pt;z-index:5;mso-position-horizontal-relative:page;mso-position-vertical-relative:page" stroked="f">
            <v:textbox style="mso-next-textbox:#_x0000_s450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5576"/>
                    <w:gridCol w:w="1573"/>
                  </w:tblGrid>
                  <w:tr w:rsidR="00953B7F" w:rsidRPr="0049006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 לחוק העיקרי, בכל מקום, במקום 'ראש הממשלה" יבוא "השר".</w:t>
                        </w:r>
                      </w:p>
                    </w:tc>
                  </w:tr>
                  <w:tr w:rsidR="00953B7F" w:rsidRPr="0049006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 לחוק העיקרי -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בסופה יבוא "לשר";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על הנושאים והכללים שלפיהם יינתנו הנחות לאזרחים ותיקים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תחומי ההנחות;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(2ב) על תחומים נוספים שבהם מן הראוי לתת הנחות לאזרחים ותיקים,</w:t>
                        </w:r>
                      </w:p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על אלה המפורטים בהגדרה "תחומי הנחות" שבסעיף ו."</w:t>
                        </w:r>
                      </w:p>
                    </w:tc>
                  </w:tr>
                  <w:tr w:rsidR="00953B7F" w:rsidRPr="0049006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ג'</w:t>
                        </w:r>
                      </w:p>
                    </w:tc>
                    <w:tc>
                      <w:tcPr>
                        <w:tcW w:w="4218" w:type="pct"/>
                        <w:gridSpan w:val="2"/>
                      </w:tcPr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8 לחוק העיקרי יבוא:</w:t>
                        </w: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ג': זכאויות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53B7F" w:rsidRPr="0049006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אזרח ותיק שהגיע לגיל הקובע עד 30 ביוני של שנת כספים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זכאי להנחה בשיעור של 50% בתשלומי מלוא האגרה בעד החזקת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טלוויזיה לפי חוק רשות השידור, התשכ"ה-1965 5; הגיע לגיל הקובע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30 ביוני של שנת כספים פלונית, יהיה זכאי להנחה בשיעור האמור,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השנה, רק לגבי מחצית האגרה.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ההנחה לפי סעיף זה תינתן גם כאשר רק אחד מבני הזוג,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המתגוררים באותה יחידת דיור שבה נמצא מקלט הטלוויזיה, הינו אזרח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טלוויזיה</w:t>
                        </w:r>
                      </w:p>
                    </w:tc>
                  </w:tr>
                  <w:tr w:rsidR="00953B7F" w:rsidRPr="0049006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אזרח ותיק זכאי להנחה בתשלומי ארנונה החלים על הדירה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המשמשת למגוריו; עלה שטח דירת המגורים על 100 מ"ר, תינתן ההנחה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לגבי 100 מ"ר.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ההנחה לפי סעיף קטן (א) תינתן לאזרח ותיק בשיעור של 30%;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משתלמת לו גמלה לפי חוק הבטחת הכנסה, התשמ"א-1980 6 (להלן -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הבטחת הכנסה), בשיעור של 100%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הנחה לפי סעיף זה יחולו הוראות אלה: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ההנחה תינתן לאותו אזרח ותיק בעד דירת מגורים אחת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ההנחה תינתן רק לאזרח ותיק אחד אף אם גרים בדירה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מזכאי אחד;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ההנחה תינתן גם כאשר רק אחד מבני הזוג המתגוררים</w:t>
                        </w:r>
                      </w:p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דירת מגורים הוא אזרח ותיק.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ארנונה</w:t>
                        </w:r>
                      </w:p>
                    </w:tc>
                  </w:tr>
                  <w:tr w:rsidR="00953B7F" w:rsidRPr="0049006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אזרח ותיק זכאי להנחה בשיעור של 500/0 מדמי הנסיעה בתחבורה</w:t>
                        </w:r>
                      </w:p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הציבורית, הן העירונית והן הבין עירונית, והיא תינתן על בל סוגי</w:t>
                        </w:r>
                      </w:p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הכרטיסים הקיימים בתחבורה הציבורית.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 ציבורית</w:t>
                        </w:r>
                      </w:p>
                    </w:tc>
                  </w:tr>
                  <w:tr w:rsidR="00953B7F" w:rsidRPr="00490069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אזרח ותיק זכאי להנחה בשיעור של 50% מדמי כניסה לגנים</w:t>
                        </w:r>
                      </w:p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ולאתרים.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כניסה</w:t>
                        </w:r>
                      </w:p>
                      <w:p w:rsidR="00953B7F" w:rsidRPr="00490069" w:rsidRDefault="00953B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לגנים ולאתרים</w:t>
                        </w: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8" w:type="pct"/>
                      </w:tcPr>
                      <w:p w:rsidR="00953B7F" w:rsidRDefault="00953B7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53B7F" w:rsidRDefault="00953B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53B7F" w:rsidRDefault="00953B7F">
      <w:pPr>
        <w:rPr>
          <w:rtl/>
        </w:rPr>
      </w:pPr>
      <w:r>
        <w:rPr>
          <w:rtl/>
        </w:rPr>
        <w:br w:type="page"/>
      </w:r>
    </w:p>
    <w:p w:rsidR="00953B7F" w:rsidRDefault="00000000">
      <w:pPr>
        <w:rPr>
          <w:rtl/>
        </w:rPr>
      </w:pPr>
      <w:r>
        <w:pict>
          <v:shape id="_x0000_s4507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5075" inset="0,0,0,0">
              <w:txbxContent>
                <w:p w:rsidR="00953B7F" w:rsidRDefault="00953B7F">
                  <w:r>
                    <w:rPr>
                      <w:rtl/>
                    </w:rPr>
                    <w:t>78                                          ספר החוקים 1561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76" o:spid="_x0000_s1033" type="#_x0000_t202" style="position:absolute;left:0;text-align:left;margin-left:85.55pt;margin-top:720.3pt;width:256.6pt;height:18pt;z-index:13;mso-position-horizontal-relative:page;mso-position-vertical-relative:page" stroked="f">
            <v:textbox style="mso-next-textbox:#_x0000_s45076" inset="0,0,0,0">
              <w:txbxContent>
                <w:p w:rsidR="00953B7F" w:rsidRDefault="00953B7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077" o:spid="_x0000_s1034" type="#_x0000_t202" style="position:absolute;left:0;text-align:left;margin-left:368.9pt;margin-top:661.7pt;width:114.45pt;height:31.9pt;z-index:12;mso-position-horizontal-relative:page;mso-position-vertical-relative:page" stroked="f">
            <v:textbox style="mso-next-textbox:#_x0000_s45077" inset="0,0,0,0">
              <w:txbxContent>
                <w:p w:rsidR="00953B7F" w:rsidRPr="00953B7F" w:rsidRDefault="00953B7F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7 ס'ח התשנ"ד,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78" o:spid="_x0000_s1035" type="#_x0000_t202" style="position:absolute;left:0;text-align:left;margin-left:89.9pt;margin-top:602.3pt;width:96.45pt;height:37.8pt;z-index:11;mso-position-horizontal-relative:page;mso-position-vertical-relative:page" stroked="f">
            <v:textbox style="mso-next-textbox:#_x0000_s45078" inset="0,0,0,0">
              <w:txbxContent>
                <w:p w:rsidR="00953B7F" w:rsidRDefault="00953B7F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53B7F" w:rsidRDefault="00953B7F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79" o:spid="_x0000_s1036" type="#_x0000_t202" style="position:absolute;left:0;text-align:left;margin-left:216.4pt;margin-top:575.55pt;width:123.95pt;height:32.65pt;z-index:10;mso-position-horizontal-relative:page;mso-position-vertical-relative:page" stroked="f">
            <v:textbox style="mso-next-textbox:#_x0000_s45079" inset="0,0,0,0">
              <w:txbxContent>
                <w:p w:rsidR="00953B7F" w:rsidRDefault="00953B7F">
                  <w:pPr>
                    <w:pStyle w:val="OCRStyle3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53B7F" w:rsidRDefault="00953B7F">
                  <w:pPr>
                    <w:pStyle w:val="OCRStyle3"/>
                    <w:ind w:left="5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80" o:spid="_x0000_s1037" type="#_x0000_t202" style="position:absolute;left:0;text-align:left;margin-left:386.9pt;margin-top:606.65pt;width:80pt;height:27.5pt;z-index:9;mso-position-horizontal-relative:page;mso-position-vertical-relative:page" stroked="f">
            <v:textbox style="mso-next-textbox:#_x0000_s45080" inset="0,0,0,0">
              <w:txbxContent>
                <w:p w:rsidR="00953B7F" w:rsidRDefault="00953B7F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53B7F" w:rsidRDefault="00953B7F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81" o:spid="_x0000_s1038" type="#_x0000_t202" style="position:absolute;left:0;text-align:left;margin-left:82.95pt;margin-top:61.75pt;width:461.55pt;height:498.35pt;z-index:8;mso-position-horizontal-relative:page;mso-position-vertical-relative:page" stroked="f">
            <v:textbox style="mso-next-textbox:#_x0000_s450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160"/>
                    <w:gridCol w:w="1302"/>
                  </w:tblGrid>
                  <w:tr w:rsidR="00953B7F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אזרח ותיק זכאי להנחה בשיעור של 50% מדמי כניסה למופעים או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מופעים, לפי כללים, מבחנים ותנאים שיקבע השר בהתייעצות עם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המדע והאמנויות, ובאישור ועדת העבודה והרווחה של הכנסת;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 יכול שייקבעו סוגי גופים או גופים מסויימים החייבים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ההנחה למופעים כאמור.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כניסה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למופעים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אזרח ותיק שמשתלמת לו גמלה לפי חוק הבטחת הכנסה, זכאי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להנחה בשיעור של 50% מהמחיר שנקבע לפי חוק ביטוח בריאות ממלכתי,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התשנ"ד-71994, בעד תרופות הכלולות בסל שירותי הבריאות, בין אם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רכש את התרופה בבית מרקחת של קופת חולים, ובין אם רכש אותה בבית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מרקחת אחר על פי מרשם רפואי שניתן לו על ידי קופת חולים ובהתאם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לנהליה.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תרופות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ד': הוראות שונות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6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שר האוצר יתקשר בהסכמים עם נותני הנחה לפי חוק זה למימון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ההנחה הניתנת לאזרח ותיק לפי הוראות חוק זה.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ההנחות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אזרח ותיק הזכאי להנחה לפי חוק זה, ובאותו ענין שבתחומי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ההנחות זכאי גם להנחה לפי כל דין או הסכם אחר, יהיה זכאי להנחה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הגבוה מביניהן. בסעיף זה, "הנחה" - לרבות פטור מלא או חלקי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מתשלום, הפחתה של מחיר או אגרה מוקטנת.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מתן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הנחה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בכפוף להוראות סעיף 15, אין בחוק זה כדי לפגוע בכל זכות או הטבה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הניתנות לאזרח ותיק על פי כל דין או הסכם.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שלא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השר ממונה על ביצוע חוק זה והוא רשאי להתקין תקנות בכל הנוגע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3B7F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תקנות לפי סעיף 12 יוגשו לאישור ועדת העבודה והרווחה של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תוך 90 ימים מיום פרסומו של חוק זה."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3B7F" w:rsidRPr="00953B7F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ביום פרסומו, ואולם -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סעיפים 8 ו-9 לחוק העיקרי כנוסחם בסעיף 8 לחוק זה, יחולו החל בשנת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1996 ואילך;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תחילתו של סעיף 10 לחוק העיקרי בנוסחו בסעיף 8 לחוק זה, לענין הנחה מדמי</w:t>
                        </w:r>
                      </w:p>
                      <w:p w:rsid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הנסיעה בתחבורה הציבורית הבין עירונית, ביום י"ב בניסן התשנ"ו (ו באפריל</w:t>
                        </w:r>
                      </w:p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1996).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953B7F" w:rsidRPr="00953B7F" w:rsidRDefault="00953B7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953B7F" w:rsidRDefault="00953B7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23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9AF2AB-CA46-4E96-B64C-5CD2C562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231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9006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53B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2008-04-07T10:05:00Z</dcterms:created>
  <dcterms:modified xsi:type="dcterms:W3CDTF">2008-04-07T10:05:00Z</dcterms:modified>
</cp:coreProperties>
</file>