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B61A7" w:rsidRDefault="007B61A7">
      <w:pPr>
        <w:rPr>
          <w:rtl/>
        </w:rPr>
      </w:pPr>
    </w:p>
    <w:p w:rsidR="007B61A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516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5164" inset="0,0,0,0">
              <w:txbxContent>
                <w:p w:rsidR="00EE5BA3" w:rsidRDefault="00EE5BA3">
                  <w:r>
                    <w:rPr>
                      <w:rtl/>
                    </w:rPr>
                    <w:t>53                                          ספר החוקים 1559                    י' בשבט התשנ"ו 31.01.1996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65" o:spid="_x0000_s1026" type="#_x0000_t202" style="position:absolute;left:0;text-align:left;margin-left:145.75pt;margin-top:618.45pt;width:400.35pt;height:116.25pt;z-index:3;mso-position-horizontal-relative:page;mso-position-vertical-relative:page" stroked="f">
            <v:textbox style="mso-next-textbox:#_x0000_s45165" inset="0,0,0,0">
              <w:txbxContent>
                <w:p w:rsidR="00EE5BA3" w:rsidRDefault="00EE5BA3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ח' בשבט התשנ"ו (29 בינואר 1996); הצעת החוק ודברי הסבר פורסמו בהצעות חוק</w:t>
                  </w:r>
                </w:p>
                <w:p w:rsidR="00EE5BA3" w:rsidRDefault="00EE5BA3">
                  <w:pPr>
                    <w:pStyle w:val="OCRStyle1"/>
                    <w:ind w:left="540"/>
                    <w:rPr>
                      <w:rtl/>
                    </w:rPr>
                  </w:pPr>
                  <w:r>
                    <w:rPr>
                      <w:rtl/>
                    </w:rPr>
                    <w:t>2392, מיום ג' בניסן התשנ"ה (3 באפריל 1995), עמ' 429.</w:t>
                  </w:r>
                </w:p>
                <w:p w:rsidR="00EE5BA3" w:rsidRPr="007B61A7" w:rsidRDefault="00EE5BA3">
                  <w:pPr>
                    <w:pStyle w:val="OCRStyle1"/>
                    <w:ind w:left="335"/>
                  </w:pPr>
                  <w:r>
                    <w:rPr>
                      <w:rtl/>
                    </w:rPr>
                    <w:t>1 ס"ח התש"י, עמ' 162; התשנ-ה, עמ' .6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66" o:spid="_x0000_s1027" type="#_x0000_t202" style="position:absolute;left:0;text-align:left;margin-left:87.35pt;margin-top:318.45pt;width:456.2pt;height:292.85pt;z-index:2;mso-position-horizontal-relative:page;mso-position-vertical-relative:page" stroked="f">
            <v:textbox style="mso-next-textbox:#_x0000_s45166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81"/>
                    <w:gridCol w:w="5605"/>
                    <w:gridCol w:w="1508"/>
                  </w:tblGrid>
                  <w:tr w:rsidR="00EE5BA3" w:rsidRPr="007B61A7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EE5BA3" w:rsidRPr="007B61A7" w:rsidRDefault="00EE5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7</w:t>
                        </w:r>
                      </w:p>
                    </w:tc>
                    <w:tc>
                      <w:tcPr>
                        <w:tcW w:w="4288" w:type="pct"/>
                        <w:gridSpan w:val="2"/>
                      </w:tcPr>
                      <w:p w:rsidR="00EE5BA3" w:rsidRDefault="00EE5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 בחוק משפחות חיילים שנספו במערכה (תגמולים ושיקום), התש"י-1950 1 (להלן -</w:t>
                        </w:r>
                      </w:p>
                      <w:p w:rsidR="00EE5BA3" w:rsidRPr="007B61A7" w:rsidRDefault="00EE5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במקום סעיף 7 יבוא:</w:t>
                        </w:r>
                      </w:p>
                    </w:tc>
                  </w:tr>
                  <w:tr w:rsidR="00EE5BA3" w:rsidRPr="007B61A7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EE5BA3" w:rsidRDefault="00EE5BA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9" w:type="pct"/>
                      </w:tcPr>
                      <w:p w:rsidR="00EE5BA3" w:rsidRDefault="00EE5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לאלמנה של נספה שאין יתום סמוך על שולחנה, ישולמו תגמולים</w:t>
                        </w:r>
                      </w:p>
                      <w:p w:rsidR="00EE5BA3" w:rsidRDefault="00EE5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חודשיים בשיעור של 85% מהתגמולים החודשיים המשולמים לפי סעיף</w:t>
                        </w:r>
                      </w:p>
                      <w:p w:rsidR="00EE5BA3" w:rsidRPr="007B61A7" w:rsidRDefault="00EE5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8(ד)."</w:t>
                        </w:r>
                      </w:p>
                    </w:tc>
                    <w:tc>
                      <w:tcPr>
                        <w:tcW w:w="909" w:type="pct"/>
                      </w:tcPr>
                      <w:p w:rsidR="00EE5BA3" w:rsidRDefault="00EE5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.תגמולים לאלמנה</w:t>
                        </w:r>
                      </w:p>
                      <w:p w:rsidR="00EE5BA3" w:rsidRPr="007B61A7" w:rsidRDefault="00EE5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בלי ילדים</w:t>
                        </w:r>
                      </w:p>
                    </w:tc>
                  </w:tr>
                  <w:tr w:rsidR="00EE5BA3" w:rsidRPr="007B61A7">
                    <w:trPr>
                      <w:jc w:val="right"/>
                    </w:trPr>
                    <w:tc>
                      <w:tcPr>
                        <w:tcW w:w="712" w:type="pct"/>
                      </w:tcPr>
                      <w:p w:rsidR="00EE5BA3" w:rsidRPr="007B61A7" w:rsidRDefault="00EE5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288" w:type="pct"/>
                        <w:gridSpan w:val="2"/>
                      </w:tcPr>
                      <w:p w:rsidR="00EE5BA3" w:rsidRDefault="00EE5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10 לחוק העיקרי, אחרי סעיף קטן (ז) יבוא:</w:t>
                        </w:r>
                      </w:p>
                      <w:p w:rsidR="00EE5BA3" w:rsidRDefault="00EE5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נפטר שכול, ישולם לבן זוגו, במשך שלושה חודשים, החל בחודש שלאחר</w:t>
                        </w:r>
                      </w:p>
                      <w:p w:rsidR="00EE5BA3" w:rsidRDefault="00EE5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החודש שבו אירעה הפטירה, בנוסף לתגמול המשתלם לו, התגמול ששולם לנפטר</w:t>
                        </w:r>
                      </w:p>
                      <w:p w:rsidR="00EE5BA3" w:rsidRPr="007B61A7" w:rsidRDefault="00EE5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ערב פטירתו."</w:t>
                        </w:r>
                      </w:p>
                    </w:tc>
                  </w:tr>
                  <w:tr w:rsidR="00EE5BA3" w:rsidRPr="007B61A7">
                    <w:trPr>
                      <w:jc w:val="right"/>
                    </w:trPr>
                    <w:tc>
                      <w:tcPr>
                        <w:tcW w:w="712" w:type="pct"/>
                        <w:vMerge w:val="restart"/>
                      </w:tcPr>
                      <w:p w:rsidR="00EE5BA3" w:rsidRDefault="00EE5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</w:t>
                        </w:r>
                      </w:p>
                      <w:p w:rsidR="00EE5BA3" w:rsidRPr="007B61A7" w:rsidRDefault="00EE5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0וא</w:t>
                        </w:r>
                      </w:p>
                    </w:tc>
                    <w:tc>
                      <w:tcPr>
                        <w:tcW w:w="4288" w:type="pct"/>
                        <w:gridSpan w:val="2"/>
                      </w:tcPr>
                      <w:p w:rsidR="00EE5BA3" w:rsidRPr="007B61A7" w:rsidRDefault="00EE5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במקום סעיף 0וא לחוק העיקרי יבוא:</w:t>
                        </w:r>
                      </w:p>
                    </w:tc>
                  </w:tr>
                  <w:tr w:rsidR="00EE5BA3" w:rsidRPr="007B61A7">
                    <w:trPr>
                      <w:jc w:val="right"/>
                    </w:trPr>
                    <w:tc>
                      <w:tcPr>
                        <w:tcW w:w="712" w:type="pct"/>
                        <w:vMerge/>
                      </w:tcPr>
                      <w:p w:rsidR="00EE5BA3" w:rsidRDefault="00EE5BA3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79" w:type="pct"/>
                      </w:tcPr>
                      <w:p w:rsidR="00EE5BA3" w:rsidRDefault="00EE5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0וא. שבול שעל שולחנו סמוכים אח או אחות של הנספה שטרם מלאו</w:t>
                        </w:r>
                      </w:p>
                      <w:p w:rsidR="00EE5BA3" w:rsidRDefault="00EE5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להם 21 שנה, תשולם תוספת לתגמולו לפי סעיף 10, בשיעורים אלה:</w:t>
                        </w:r>
                      </w:p>
                      <w:p w:rsidR="00EE5BA3" w:rsidRDefault="00EE5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היו סמוכים על שולחנו אח אחד או אחות אחת - 20%</w:t>
                        </w:r>
                      </w:p>
                      <w:p w:rsidR="00EE5BA3" w:rsidRDefault="00EE5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מהתגמול המשתלם לפי סעיף 10(א) לזוג הורים שכולים;</w:t>
                        </w:r>
                      </w:p>
                      <w:p w:rsidR="00EE5BA3" w:rsidRDefault="00EE5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היו סמוכים על שולחנו יותר מאח אחד או אחות אחת של</w:t>
                        </w:r>
                      </w:p>
                      <w:p w:rsidR="00EE5BA3" w:rsidRDefault="00EE5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הנספה - התוספת המשתלמת לפי פסקה (ו) והתוספת של 11%</w:t>
                        </w:r>
                      </w:p>
                      <w:p w:rsidR="00EE5BA3" w:rsidRDefault="00EE5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מהתגמול האמור באותה פסקה עבור כל אח או אחות נוספים."</w:t>
                        </w:r>
                      </w:p>
                    </w:tc>
                    <w:tc>
                      <w:tcPr>
                        <w:tcW w:w="909" w:type="pct"/>
                      </w:tcPr>
                      <w:p w:rsidR="00EE5BA3" w:rsidRDefault="00EE5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"תוספת להורים</w:t>
                        </w:r>
                      </w:p>
                      <w:p w:rsidR="00EE5BA3" w:rsidRDefault="00EE5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שכולים בעד</w:t>
                        </w:r>
                      </w:p>
                      <w:p w:rsidR="00EE5BA3" w:rsidRPr="007B61A7" w:rsidRDefault="00EE5B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אחי הנספה</w:t>
                        </w:r>
                      </w:p>
                    </w:tc>
                  </w:tr>
                </w:tbl>
                <w:p w:rsidR="00EE5BA3" w:rsidRDefault="00EE5BA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5167" o:spid="_x0000_s1028" type="#_x0000_t202" style="position:absolute;left:0;text-align:left;margin-left:163.95pt;margin-top:283.25pt;width:367.5pt;height:30.1pt;z-index:1;mso-position-horizontal-relative:page;mso-position-vertical-relative:page" stroked="f">
            <v:textbox style="mso-next-textbox:#_x0000_s45167" inset="0,0,0,0">
              <w:txbxContent>
                <w:p w:rsidR="00EE5BA3" w:rsidRDefault="00EE5BA3">
                  <w:pPr>
                    <w:pStyle w:val="OCRStyle1"/>
                    <w:ind w:left="205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משפחות חיילים שנספו במערכה (תגמולים ושיקום) (תיקון מס' 19),</w:t>
                  </w:r>
                </w:p>
                <w:p w:rsidR="00EE5BA3" w:rsidRPr="007B61A7" w:rsidRDefault="00EE5BA3">
                  <w:pPr>
                    <w:pStyle w:val="OCRStyle1"/>
                    <w:ind w:left="270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התשנ"ו-1996*</w:t>
                  </w:r>
                </w:p>
              </w:txbxContent>
            </v:textbox>
            <w10:wrap anchorx="page" anchory="page"/>
          </v:shape>
        </w:pict>
      </w:r>
    </w:p>
    <w:p w:rsidR="00EE5BA3" w:rsidRDefault="00EE5BA3">
      <w:pPr>
        <w:rPr>
          <w:rtl/>
        </w:rPr>
      </w:pPr>
      <w:r>
        <w:rPr>
          <w:rtl/>
        </w:rPr>
        <w:br w:type="page"/>
      </w:r>
    </w:p>
    <w:p w:rsidR="00EE5BA3" w:rsidRDefault="00000000">
      <w:pPr>
        <w:rPr>
          <w:rtl/>
        </w:rPr>
      </w:pPr>
      <w:r>
        <w:pict>
          <v:shape id="_x0000_s45168" o:spid="_x0000_s1029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45168" inset="0,0,0,0">
              <w:txbxContent>
                <w:p w:rsidR="00EE5BA3" w:rsidRDefault="00EE5BA3">
                  <w:r>
                    <w:rPr>
                      <w:rtl/>
                    </w:rPr>
                    <w:t>54                                          ספר החוקים 1559                    י' בשבט התשנ"ו 31.01.1996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69" o:spid="_x0000_s1030" type="#_x0000_t202" style="position:absolute;left:0;text-align:left;margin-left:99.75pt;margin-top:713pt;width:199pt;height:31.9pt;z-index:11;mso-position-horizontal-relative:page;mso-position-vertical-relative:page" stroked="f">
            <v:textbox style="mso-next-textbox:#_x0000_s45169" inset="0,0,0,0">
              <w:txbxContent>
                <w:p w:rsidR="00EE5BA3" w:rsidRDefault="00EE5BA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5170" o:spid="_x0000_s1031" type="#_x0000_t202" style="position:absolute;left:0;text-align:left;margin-left:378.7pt;margin-top:638.95pt;width:110.1pt;height:21.6pt;z-index:10;mso-position-horizontal-relative:page;mso-position-vertical-relative:page" stroked="f">
            <v:textbox style="mso-next-textbox:#_x0000_s45170" inset="0,0,0,0">
              <w:txbxContent>
                <w:p w:rsidR="00EE5BA3" w:rsidRPr="00EE5BA3" w:rsidRDefault="00EE5BA3">
                  <w:pPr>
                    <w:pStyle w:val="OCRStyle2"/>
                    <w:ind w:left="212"/>
                  </w:pPr>
                  <w:r>
                    <w:rPr>
                      <w:rtl/>
                    </w:rPr>
                    <w:t>2 ס"ח התשמ''ט, עמ'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71" o:spid="_x0000_s1032" type="#_x0000_t202" style="position:absolute;left:0;text-align:left;margin-left:112.6pt;margin-top:541.75pt;width:75.05pt;height:36.05pt;z-index:9;mso-position-horizontal-relative:page;mso-position-vertical-relative:page" stroked="f">
            <v:textbox style="mso-next-textbox:#_x0000_s45171" inset="0,0,0,0">
              <w:txbxContent>
                <w:p w:rsidR="00EE5BA3" w:rsidRDefault="00EE5BA3">
                  <w:pPr>
                    <w:pStyle w:val="OCRStyle2"/>
                    <w:ind w:left="101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EE5BA3" w:rsidRDefault="00EE5BA3">
                  <w:pPr>
                    <w:pStyle w:val="OCRStyle2"/>
                    <w:ind w:left="216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72" o:spid="_x0000_s1033" type="#_x0000_t202" style="position:absolute;left:0;text-align:left;margin-left:197.95pt;margin-top:570.05pt;width:95.45pt;height:37.8pt;z-index:8;mso-position-horizontal-relative:page;mso-position-vertical-relative:page" stroked="f">
            <v:textbox style="mso-next-textbox:#_x0000_s45172" inset="0,0,0,0">
              <w:txbxContent>
                <w:p w:rsidR="00EE5BA3" w:rsidRDefault="00EE5BA3">
                  <w:pPr>
                    <w:pStyle w:val="OCRStyle2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EE5BA3" w:rsidRDefault="00EE5BA3">
                  <w:pPr>
                    <w:pStyle w:val="OCRStyle2"/>
                    <w:ind w:left="227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73" o:spid="_x0000_s1034" type="#_x0000_t202" style="position:absolute;left:0;text-align:left;margin-left:300.3pt;margin-top:541.75pt;width:80.2pt;height:35.25pt;z-index:7;mso-position-horizontal-relative:page;mso-position-vertical-relative:page" stroked="f">
            <v:textbox style="mso-next-textbox:#_x0000_s45173" inset="0,0,0,0">
              <w:txbxContent>
                <w:p w:rsidR="00EE5BA3" w:rsidRDefault="00EE5BA3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EE5BA3" w:rsidRDefault="00EE5BA3">
                  <w:pPr>
                    <w:pStyle w:val="OCRStyle2"/>
                    <w:ind w:left="13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74" o:spid="_x0000_s1035" type="#_x0000_t202" style="position:absolute;left:0;text-align:left;margin-left:389.8pt;margin-top:568.25pt;width:87.9pt;height:34.45pt;z-index:6;mso-position-horizontal-relative:page;mso-position-vertical-relative:page" stroked="f">
            <v:textbox style="mso-next-textbox:#_x0000_s45174" inset="0,0,0,0">
              <w:txbxContent>
                <w:p w:rsidR="00EE5BA3" w:rsidRDefault="00EE5BA3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עזר וייצמן</w:t>
                  </w:r>
                </w:p>
                <w:p w:rsidR="00EE5BA3" w:rsidRDefault="00EE5BA3">
                  <w:pPr>
                    <w:pStyle w:val="OCRStyle2"/>
                    <w:ind w:left="26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5175" o:spid="_x0000_s1036" type="#_x0000_t202" style="position:absolute;left:0;text-align:left;margin-left:87.65pt;margin-top:57.8pt;width:478.75pt;height:471.85pt;z-index:5;mso-position-horizontal-relative:page;mso-position-vertical-relative:page" stroked="f">
            <v:textbox style="mso-next-textbox:#_x0000_s45175" inset="0,0,0,0">
              <w:txbxContent>
                <w:tbl>
                  <w:tblPr>
                    <w:tblW w:w="4439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113"/>
                    <w:gridCol w:w="1062"/>
                    <w:gridCol w:w="1531"/>
                  </w:tblGrid>
                  <w:tr w:rsidR="00EE5BA3" w:rsidRPr="00EE5BA3">
                    <w:trPr>
                      <w:jc w:val="right"/>
                    </w:trPr>
                    <w:tc>
                      <w:tcPr>
                        <w:tcW w:w="4121" w:type="pct"/>
                        <w:gridSpan w:val="2"/>
                      </w:tcPr>
                      <w:p w:rsid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 12א לחוק העיקרי -</w:t>
                        </w:r>
                      </w:p>
                      <w:p w:rsid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)ו( בסעיף קטן )א(, בפסקה )0, במקום "סעיף 7(ב)(1)  יבוא "סעיף 7" ובפסקה )2(,</w:t>
                        </w:r>
                      </w:p>
                      <w:p w:rsid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"סעיף 7(ב)(2)" יבוא "סעיף 7";</w:t>
                        </w:r>
                      </w:p>
                      <w:p w:rsid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(ג), במקום "עשר שנים" יבוא, בכל מקום, "ארבע עשרה שנים'',</w:t>
                        </w:r>
                      </w:p>
                      <w:p w:rsidR="00EE5BA3" w:rsidRP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"לארבע עשרה שנים" יבוא "לעשרים ואחת שנים".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EE5BA3" w:rsidRP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12א</w:t>
                        </w:r>
                      </w:p>
                    </w:tc>
                  </w:tr>
                  <w:tr w:rsidR="00EE5BA3" w:rsidRPr="00EE5BA3">
                    <w:trPr>
                      <w:jc w:val="right"/>
                    </w:trPr>
                    <w:tc>
                      <w:tcPr>
                        <w:tcW w:w="4121" w:type="pct"/>
                        <w:gridSpan w:val="2"/>
                      </w:tcPr>
                      <w:p w:rsidR="00EE5BA3" w:rsidRP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26(א)  לחוק העיקרי, במקום "סעיף 7(ב)" יבוא "סעיף 7".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EE5BA3" w:rsidRP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26</w:t>
                        </w:r>
                      </w:p>
                    </w:tc>
                  </w:tr>
                  <w:tr w:rsidR="00EE5BA3" w:rsidRPr="00EE5BA3">
                    <w:trPr>
                      <w:jc w:val="right"/>
                    </w:trPr>
                    <w:tc>
                      <w:tcPr>
                        <w:tcW w:w="4121" w:type="pct"/>
                        <w:gridSpan w:val="2"/>
                      </w:tcPr>
                      <w:p w:rsidR="00EE5BA3" w:rsidRP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בסעיף 30(1)(1) לחוק העיקרי, במקום "סעיף 7(ב)(1)" יבוא "סעיף 7".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EE5BA3" w:rsidRP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30</w:t>
                        </w:r>
                      </w:p>
                    </w:tc>
                  </w:tr>
                  <w:tr w:rsidR="00EE5BA3" w:rsidRPr="00EE5BA3">
                    <w:trPr>
                      <w:jc w:val="right"/>
                    </w:trPr>
                    <w:tc>
                      <w:tcPr>
                        <w:tcW w:w="4121" w:type="pct"/>
                        <w:gridSpan w:val="2"/>
                      </w:tcPr>
                      <w:p w:rsidR="00EE5BA3" w:rsidRP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אחרי סעיף 31 לחוק העיקרי יבוא:</w:t>
                        </w:r>
                      </w:p>
                    </w:tc>
                    <w:tc>
                      <w:tcPr>
                        <w:tcW w:w="879" w:type="pct"/>
                        <w:vMerge w:val="restart"/>
                      </w:tcPr>
                      <w:p w:rsid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</w:t>
                        </w:r>
                      </w:p>
                      <w:p w:rsidR="00EE5BA3" w:rsidRP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31א</w:t>
                        </w:r>
                      </w:p>
                    </w:tc>
                  </w:tr>
                  <w:tr w:rsidR="00EE5BA3">
                    <w:trPr>
                      <w:jc w:val="right"/>
                    </w:trPr>
                    <w:tc>
                      <w:tcPr>
                        <w:tcW w:w="3511" w:type="pct"/>
                      </w:tcPr>
                      <w:p w:rsid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וגא. (א) על אף הוראת סעיף ו3(א), רשאי קצין התגמולים לנכות מן</w:t>
                        </w:r>
                      </w:p>
                      <w:p w:rsid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התגמול של זכאי רמי חבר, בסכום שנקבע לפי סעיף קטן (ד), לטובת ארגון</w:t>
                        </w:r>
                      </w:p>
                      <w:p w:rsid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שהוכרז על-ידי שר הבטחון כארגון יציג של זכאים על פי חוק זה.</w:t>
                        </w:r>
                      </w:p>
                      <w:p w:rsid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קצין התגמולים לא ישתמש בסמכותו לנכות מן התגמול</w:t>
                        </w:r>
                      </w:p>
                      <w:p w:rsid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לאחר שהודיע בכתב לזכאי על זכותו להגיש התנגדות בכתב</w:t>
                        </w:r>
                      </w:p>
                      <w:p w:rsid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לניכוי.</w:t>
                        </w:r>
                      </w:p>
                      <w:p w:rsid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הודיע הזכאי לקצין התגמולים בכתב על התנגדותו לניבוי,</w:t>
                        </w:r>
                      </w:p>
                      <w:p w:rsid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יופסק הניכוי בתום חורש מקבלת ההודעה.</w:t>
                        </w:r>
                      </w:p>
                      <w:p w:rsid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-שר הבטחון, באישור ועדת העבודה והרווחה של הכנסת,</w:t>
                        </w:r>
                      </w:p>
                      <w:p w:rsid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יקבע את הסכום המרבי שמותר לנכות כל חודש מתגמוליו של זכאי לפי</w:t>
                        </w:r>
                      </w:p>
                      <w:p w:rsid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(א)."</w:t>
                        </w:r>
                      </w:p>
                    </w:tc>
                    <w:tc>
                      <w:tcPr>
                        <w:tcW w:w="610" w:type="pct"/>
                      </w:tcPr>
                      <w:p w:rsid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-ניכוי דמי</w:t>
                        </w:r>
                      </w:p>
                      <w:p w:rsid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 לארגון</w:t>
                        </w:r>
                      </w:p>
                      <w:p w:rsidR="00EE5BA3" w:rsidRP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יציג</w:t>
                        </w:r>
                      </w:p>
                    </w:tc>
                    <w:tc>
                      <w:tcPr>
                        <w:tcW w:w="879" w:type="pct"/>
                        <w:vMerge/>
                      </w:tcPr>
                      <w:p w:rsid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EE5BA3" w:rsidRPr="00EE5BA3">
                    <w:trPr>
                      <w:jc w:val="right"/>
                    </w:trPr>
                    <w:tc>
                      <w:tcPr>
                        <w:tcW w:w="4121" w:type="pct"/>
                        <w:gridSpan w:val="2"/>
                      </w:tcPr>
                      <w:p w:rsid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8. סעיף 2 לחוק משפחות חיילים שנספו במערכה (תגמולים ושיקום) (תיקון מס' 17), </w:t>
                        </w:r>
                      </w:p>
                      <w:p w:rsid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התשמ"ט-21989 - בטל.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משפחות חיילים</w:t>
                        </w:r>
                      </w:p>
                      <w:p w:rsid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שנספו במערכה</w:t>
                        </w:r>
                      </w:p>
                      <w:p w:rsid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(תגמולים ושיקום)</w:t>
                        </w:r>
                      </w:p>
                      <w:p w:rsidR="00EE5BA3" w:rsidRP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(תיקון מס' 17)</w:t>
                        </w:r>
                      </w:p>
                    </w:tc>
                  </w:tr>
                  <w:tr w:rsidR="00EE5BA3" w:rsidRPr="00EE5BA3">
                    <w:trPr>
                      <w:jc w:val="right"/>
                    </w:trPr>
                    <w:tc>
                      <w:tcPr>
                        <w:tcW w:w="4121" w:type="pct"/>
                        <w:gridSpan w:val="2"/>
                      </w:tcPr>
                      <w:p w:rsidR="00EE5BA3" w:rsidRP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תחילתו של חוק זה ב-1 בחודש שלאחר פרסומו.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EE5BA3" w:rsidRP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EE5BA3" w:rsidRPr="00EE5BA3">
                    <w:trPr>
                      <w:jc w:val="right"/>
                    </w:trPr>
                    <w:tc>
                      <w:tcPr>
                        <w:tcW w:w="4121" w:type="pct"/>
                        <w:gridSpan w:val="2"/>
                      </w:tcPr>
                      <w:p w:rsid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סעיף 12א(ג) לחוק העיקרי כנוסחו בסעיף 4(2) לחוק זה יחול גם על מי שנישאה לפני</w:t>
                        </w:r>
                      </w:p>
                      <w:p w:rsid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תחילתו של חוק זה ובלבד שביום התחילה כאמור היא עדיין נשואה ולא חלפה לגביה</w:t>
                        </w:r>
                      </w:p>
                      <w:p w:rsidR="00EE5BA3" w:rsidRP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ארבע עשרה השנים או עשרים ואחת השנים, לפי הענין, מיום הנישואין השניים.</w:t>
                        </w:r>
                      </w:p>
                    </w:tc>
                    <w:tc>
                      <w:tcPr>
                        <w:tcW w:w="879" w:type="pct"/>
                      </w:tcPr>
                      <w:p w:rsidR="00EE5BA3" w:rsidRPr="00EE5BA3" w:rsidRDefault="00EE5BA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</w:tbl>
                <w:p w:rsidR="00EE5BA3" w:rsidRDefault="00EE5BA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B61A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B61A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BB1CD27-7A6E-4AEF-BDAA-F1D9A000C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B61A7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EE5BA3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2008-04-07T10:03:00Z</dcterms:created>
  <dcterms:modified xsi:type="dcterms:W3CDTF">2008-04-07T10:03:00Z</dcterms:modified>
</cp:coreProperties>
</file>