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36B8" w:rsidRDefault="00BC36B8">
      <w:pPr>
        <w:rPr>
          <w:rtl/>
        </w:rPr>
      </w:pPr>
    </w:p>
    <w:p w:rsidR="00BC36B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4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466" inset="0,0,0,0">
              <w:txbxContent>
                <w:p w:rsidR="000616DF" w:rsidRDefault="000616DF">
                  <w:r>
                    <w:rPr>
                      <w:rtl/>
                    </w:rPr>
                    <w:t>258                                         ספר החוקים 1586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67" o:spid="_x0000_s1026" type="#_x0000_t202" style="position:absolute;left:0;text-align:left;margin-left:90.05pt;margin-top:669pt;width:387.5pt;height:67.3pt;z-index:3;mso-position-horizontal-relative:page;mso-position-vertical-relative:page" stroked="f">
            <v:textbox style="mso-next-textbox:#_x0000_s45467" inset="0,0,0,0">
              <w:txbxContent>
                <w:p w:rsidR="000616DF" w:rsidRDefault="000616DF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התשנ''ו (גו במרס 1996); הצעת החוק ודברי הסבר פורסמו בהצעות חוק</w:t>
                  </w:r>
                </w:p>
                <w:p w:rsidR="000616DF" w:rsidRDefault="000616DF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2549, מיום ט"ו בשבט התשנ''ו (6 ו בינואר 1995), עמ' 244.</w:t>
                  </w:r>
                </w:p>
                <w:p w:rsidR="000616DF" w:rsidRPr="00BC36B8" w:rsidRDefault="000616DF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1 ס''ח התשמ"ב, עמ' 218; התשנ''ו, עמ' .55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68" o:spid="_x0000_s1027" type="#_x0000_t202" style="position:absolute;left:0;text-align:left;margin-left:94.4pt;margin-top:546.8pt;width:453.6pt;height:120.6pt;z-index:2;mso-position-horizontal-relative:page;mso-position-vertical-relative:page" stroked="f">
            <v:textbox style="mso-next-textbox:#_x0000_s4546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138"/>
                  </w:tblGrid>
                  <w:tr w:rsidR="000616DF" w:rsidRPr="00BC36B8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0616DF" w:rsidRDefault="000616D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4 לחוק הבזק, התשמ"ב-1982 3 להלן - החוק העיקרי) -</w:t>
                        </w:r>
                      </w:p>
                      <w:p w:rsidR="000616DF" w:rsidRDefault="000616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"ולקבוע בו תנאים" יבוא "ורשאי הוא להורות כי הרשיון</w:t>
                        </w:r>
                      </w:p>
                      <w:p w:rsidR="000616DF" w:rsidRDefault="000616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יוענק בדרך של מכרז"-,</w:t>
                        </w:r>
                      </w:p>
                      <w:p w:rsidR="000616DF" w:rsidRDefault="000616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פסקה (0 יבוא:</w:t>
                        </w:r>
                      </w:p>
                      <w:p w:rsidR="000616DF" w:rsidRDefault="000616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שיקולים שבטובת הציבור;";</w:t>
                        </w:r>
                      </w:p>
                      <w:p w:rsidR="000616DF" w:rsidRDefault="000616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(ר), אחרי "לענין תשלום אגרות" יבוא "ומתן ערבויות והדרכים</w:t>
                        </w:r>
                      </w:p>
                      <w:p w:rsidR="000616DF" w:rsidRPr="00BC36B8" w:rsidRDefault="000616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למימושן";</w:t>
                        </w:r>
                      </w:p>
                    </w:tc>
                    <w:tc>
                      <w:tcPr>
                        <w:tcW w:w="690" w:type="pct"/>
                      </w:tcPr>
                      <w:p w:rsidR="000616DF" w:rsidRPr="00BC36B8" w:rsidRDefault="000616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0616DF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0616DF" w:rsidRDefault="000616D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0616DF" w:rsidRDefault="000616D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616DF" w:rsidRDefault="000616D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469" o:spid="_x0000_s1028" type="#_x0000_t202" style="position:absolute;left:0;text-align:left;margin-left:183.1pt;margin-top:522.65pt;width:222.15pt;height:20.8pt;z-index:1;mso-position-horizontal-relative:page;mso-position-vertical-relative:page" stroked="f">
            <v:textbox style="mso-next-textbox:#_x0000_s45469" inset="0,0,0,0">
              <w:txbxContent>
                <w:p w:rsidR="000616DF" w:rsidRPr="00BC36B8" w:rsidRDefault="000616DF">
                  <w:pPr>
                    <w:pStyle w:val="OCRStyle1"/>
                    <w:ind w:left="1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הבזק (תיקון מס' 12), התשנ"ו-1996*</w:t>
                  </w:r>
                </w:p>
              </w:txbxContent>
            </v:textbox>
            <w10:wrap anchorx="page" anchory="page"/>
          </v:shape>
        </w:pict>
      </w:r>
    </w:p>
    <w:p w:rsidR="000C1437" w:rsidRDefault="000C1437">
      <w:pPr>
        <w:rPr>
          <w:rtl/>
        </w:rPr>
      </w:pPr>
      <w:r>
        <w:rPr>
          <w:rtl/>
        </w:rPr>
        <w:br w:type="page"/>
      </w:r>
    </w:p>
    <w:p w:rsidR="000C1437" w:rsidRDefault="00000000">
      <w:pPr>
        <w:rPr>
          <w:rtl/>
        </w:rPr>
      </w:pPr>
      <w:r>
        <w:pict>
          <v:shape id="_x0000_s45470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470" inset="0,0,0,0">
              <w:txbxContent>
                <w:p w:rsidR="000616DF" w:rsidRDefault="000616DF">
                  <w:r>
                    <w:rPr>
                      <w:rtl/>
                    </w:rPr>
                    <w:t>259                                         ספר החוקים 1586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71" o:spid="_x0000_s1030" type="#_x0000_t202" style="position:absolute;left:0;text-align:left;margin-left:372.25pt;margin-top:716.8pt;width:179pt;height:20.8pt;z-index:7;mso-position-horizontal-relative:page;mso-position-vertical-relative:page" stroked="f">
            <v:textbox style="mso-next-textbox:#_x0000_s45471" inset="0,0,0,0">
              <w:txbxContent>
                <w:p w:rsidR="000616DF" w:rsidRDefault="000616D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472" o:spid="_x0000_s1031" type="#_x0000_t202" style="position:absolute;left:0;text-align:left;margin-left:107.1pt;margin-top:127.95pt;width:448.45pt;height:586.3pt;z-index:6;mso-position-horizontal-relative:page;mso-position-vertical-relative:page" stroked="f">
            <v:textbox style="mso-next-textbox:#_x0000_s4547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5648"/>
                    <w:gridCol w:w="1195"/>
                  </w:tblGrid>
                  <w:tr w:rsidR="000616DF">
                    <w:trPr>
                      <w:jc w:val="right"/>
                    </w:trPr>
                    <w:tc>
                      <w:tcPr>
                        <w:tcW w:w="803" w:type="pct"/>
                        <w:vMerge w:val="restart"/>
                      </w:tcPr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4ד ו-4ה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4ג לחוק העיקרי, יבוא:</w:t>
                        </w:r>
                      </w:p>
                    </w:tc>
                  </w:tr>
                  <w:tr w:rsidR="000616DF">
                    <w:trPr>
                      <w:jc w:val="right"/>
                    </w:trPr>
                    <w:tc>
                      <w:tcPr>
                        <w:tcW w:w="803" w:type="pct"/>
                        <w:vMerge/>
                      </w:tcPr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4" w:type="pct"/>
                      </w:tcPr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4ד. (א) (ו) השר, באישור הממשלה, רשאי לקבוע בצו כי שירות בזק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 בו הוא שירות חיוני (להלן - שירות חיוני) אם ראה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מאלה: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כי הפסקה, צמצום או פגיעה אחרת בו, לרבות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בסדירות אספקתו, עלולה לפגוע כבטחון המדינה או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באספקה נאותה של שירותים לציבור;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כי רכישת שליטה או אמצעי שליטה או החזקתם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בנותן השירות החיוני עלולים לפגוע במדיניות הממשלה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הבזק ובכלל זה בתחרות בתחום זה;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בטרם יקבע השר כי שירות בזק הוא שירות חיוני בשל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עילה המפורטת בסעיף קטן (א)(1), יתן לבעל הרשיון הנותן את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האמור (להלן - נותן השירות החיוני) וכן למי שהינו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שליטה או בעל ענין בו, הזדמנות להשמיע טענותיו.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לפי סעיף קטן (א) -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רשאי השר, באישור הממשלה, לקבוע כי יחולו ההגבלות,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וההוראות שבסעיפים קטנים (ג) ו -(ד), כולם או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מקצתם, לתקופה קצובה או דרך כלל, הכל כפי שייקבע בצו;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תצויין העילה לקביעת השירות כשירות חיוני.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ההגבלות, התנאים וההוראות לפי סעיף קטן (ב)(1) יהיו בענינים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כולם או חלקם-,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קביעה, כי לא יחזיק אדם אמצעי שליטה בנותן השירות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החיוני בשיעור של חמישה אחוזים או יותר, או בשיעורים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שקבע השר בצו, וכן שליטה בנותן השירות החיוני, ללא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מראש מאת השר ובתנאים שיקבע (להלן - מגבלות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והחזקה); השר יהא רשאי ליתן אישור למבקש אם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שוכנע, כי אין בשליטה כאמור או בהחזקה של אמצעי שליטה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המבוקש על ידיו, כדי לפגוע במתן השירות החיוני או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בעילה לקביעתו כשירות חיוני כאמור בסעיף קטן (א)(1);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קביעה, לפיה השליטה בנותן השירות החיוני תהא בידי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ישראלי ותושב בה, לרבות בדרך של קביעת שיעור מרבי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אמצעי שליטה שיוחזקו בידי מי שאינו אזרח או תושב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(להלן - מגבלת הישראליות);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קביעה לפיה הניהול השוטף של נותן השירות החיוני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ומרכז עסקיו יהיו בישראל;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קביעת חובה למסור מידע לשר לפי דרישתו, בענינים</w:t>
                        </w:r>
                      </w:p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הקשורים למתן השירות החיוני כפי שיפורטו בדרישה; אין</w:t>
                        </w:r>
                      </w:p>
                    </w:tc>
                    <w:tc>
                      <w:tcPr>
                        <w:tcW w:w="733" w:type="pct"/>
                      </w:tcPr>
                      <w:p w:rsidR="000616DF" w:rsidRDefault="000616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ישירות חיוני</w:t>
                        </w:r>
                      </w:p>
                    </w:tc>
                  </w:tr>
                </w:tbl>
                <w:p w:rsidR="000616DF" w:rsidRDefault="000616D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473" o:spid="_x0000_s1032" type="#_x0000_t202" style="position:absolute;left:0;text-align:left;margin-left:132.05pt;margin-top:72.15pt;width:417.6pt;height:54.25pt;z-index:5;mso-position-horizontal-relative:page;mso-position-vertical-relative:page" stroked="f">
            <v:textbox style="mso-next-textbox:#_x0000_s45473" inset="0,0,0,0">
              <w:txbxContent>
                <w:p w:rsidR="000616DF" w:rsidRDefault="000616DF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(4) אחרי סעיף קטן (ד) יבוא-.</w:t>
                  </w:r>
                </w:p>
                <w:p w:rsidR="000616DF" w:rsidRDefault="000616DF">
                  <w:pPr>
                    <w:pStyle w:val="OCRStyle2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"(דו) העברה, שעבוד או עיקול של רשיון או של זכות מהזכויות המוקנות בו,</w:t>
                  </w:r>
                </w:p>
                <w:p w:rsidR="000616DF" w:rsidRDefault="000616DF">
                  <w:pPr>
                    <w:pStyle w:val="OCRStyle2"/>
                    <w:ind w:left="846"/>
                  </w:pPr>
                  <w:r>
                    <w:rPr>
                      <w:rtl/>
                    </w:rPr>
                    <w:t>שלא הותרו במפורש ברשיון, טעונים אישור השר."</w:t>
                  </w:r>
                </w:p>
              </w:txbxContent>
            </v:textbox>
            <w10:wrap anchorx="page" anchory="page"/>
          </v:shape>
        </w:pict>
      </w:r>
    </w:p>
    <w:p w:rsidR="006F2BE3" w:rsidRDefault="006F2BE3">
      <w:pPr>
        <w:rPr>
          <w:rtl/>
        </w:rPr>
      </w:pPr>
      <w:r>
        <w:rPr>
          <w:rtl/>
        </w:rPr>
        <w:br w:type="page"/>
      </w:r>
    </w:p>
    <w:p w:rsidR="006F2BE3" w:rsidRDefault="00000000">
      <w:pPr>
        <w:rPr>
          <w:rtl/>
        </w:rPr>
      </w:pPr>
      <w:r>
        <w:pict>
          <v:shape id="_x0000_s45474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5474" inset="0,0,0,0">
              <w:txbxContent>
                <w:p w:rsidR="000616DF" w:rsidRDefault="000616DF">
                  <w:r>
                    <w:rPr>
                      <w:rtl/>
                    </w:rPr>
                    <w:t>260                                         ספר החוקים 1586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75" o:spid="_x0000_s1034" type="#_x0000_t202" style="position:absolute;left:0;text-align:left;margin-left:86.8pt;margin-top:694.55pt;width:391.65pt;height:56.85pt;z-index:10;mso-position-horizontal-relative:page;mso-position-vertical-relative:page" stroked="f">
            <v:textbox style="mso-next-textbox:#_x0000_s45475" inset="0,0,0,0">
              <w:txbxContent>
                <w:p w:rsidR="000616DF" w:rsidRPr="006F2BE3" w:rsidRDefault="000616DF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2 דיני מדינת ישראל, נוסח חדש 37, עמ' ו76; ס'ח התשנ-ה,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76" o:spid="_x0000_s1035" type="#_x0000_t202" style="position:absolute;left:0;text-align:left;margin-left:90.95pt;margin-top:77.35pt;width:290.25pt;height:604.3pt;z-index:9;mso-position-horizontal-relative:page;mso-position-vertical-relative:page" stroked="f">
            <v:textbox style="mso-next-textbox:#_x0000_s45476" inset="0,0,0,0">
              <w:txbxContent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באמור בפסקה זו כדי לגרוע מחובה אחרת למסירת מידע</w:t>
                  </w:r>
                </w:p>
                <w:p w:rsidR="000616DF" w:rsidRDefault="000616DF">
                  <w:pPr>
                    <w:pStyle w:val="OCRStyle3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הקיימת לפי כל דין;</w:t>
                  </w:r>
                </w:p>
                <w:p w:rsidR="000616DF" w:rsidRDefault="000616DF">
                  <w:pPr>
                    <w:pStyle w:val="OCRStyle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(5) קביעה, מטעמים של בטחון המדינה, כי נושאי משרה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בנותן השירות החיוני, כולם או מקצתם, ובעלי תפקידים אחרים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בנותן השירות החיוני כפי שייקבעו בצו, יהיו אזרחים ישראלים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ותושבים בה, ובי אלה, כולם או מקצתם, יהיו בעלי סיווג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בטחוני מתאים כפי שיקבע שירות הבטחון הכללי; לענין זה,</w:t>
                  </w:r>
                </w:p>
                <w:p w:rsidR="000616DF" w:rsidRDefault="000616DF">
                  <w:pPr>
                    <w:pStyle w:val="OCRStyle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"נושא משרה" - כמשמעותו בסעיף 96כד לפקודת החברות</w:t>
                  </w:r>
                </w:p>
                <w:p w:rsidR="000616DF" w:rsidRDefault="000616DF">
                  <w:pPr>
                    <w:pStyle w:val="OCRStyle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[נוסח חדש], התשמ"ג-1983 2 (להלן - פקודת החברות);</w:t>
                  </w:r>
                </w:p>
                <w:p w:rsidR="000616DF" w:rsidRDefault="000616DF">
                  <w:pPr>
                    <w:pStyle w:val="OCRStyle3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(6) קביעה, כי העברה, שעבוד או עיקול של נכסים מסויימים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של נותן השירות החיוני או של זכויות בהם, שלדעת השר</w:t>
                  </w:r>
                </w:p>
                <w:p w:rsidR="000616DF" w:rsidRDefault="000616DF">
                  <w:pPr>
                    <w:pStyle w:val="OCRStyle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דרושים להבטחת מתן השירות החיוני, טעונים אישור מראש,</w:t>
                  </w:r>
                </w:p>
                <w:p w:rsidR="000616DF" w:rsidRDefault="000616DF">
                  <w:pPr>
                    <w:pStyle w:val="OCRStyle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וכן קביעה לענין תוקפן של פעולות שנעשו בניגוד לקביעות</w:t>
                  </w:r>
                </w:p>
                <w:p w:rsidR="000616DF" w:rsidRDefault="000616DF">
                  <w:pPr>
                    <w:pStyle w:val="OCRStyle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השר לפי פסקה זו, כלפי מי שידע או שיכול היה לדעת</w:t>
                  </w:r>
                </w:p>
                <w:p w:rsidR="000616DF" w:rsidRDefault="000616DF">
                  <w:pPr>
                    <w:pStyle w:val="OCRStyle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עליהן;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(7) קביעה, כי הליכי פירוק מרצון של התאגיד נותן השירות</w:t>
                  </w:r>
                </w:p>
                <w:p w:rsidR="000616DF" w:rsidRDefault="000616DF">
                  <w:pPr>
                    <w:pStyle w:val="OCRStyle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החיוני, פשרה או הסדר לגביו, וכן שינוי או ארגון מחדש של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מבנה התאגיד, מיזוגו או פיצולו טעונים אישור מראש מאת</w:t>
                  </w:r>
                </w:p>
                <w:p w:rsidR="000616DF" w:rsidRDefault="000616DF">
                  <w:pPr>
                    <w:pStyle w:val="OCRStyle3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השר;</w:t>
                  </w:r>
                </w:p>
                <w:p w:rsidR="000616DF" w:rsidRDefault="000616DF">
                  <w:pPr>
                    <w:pStyle w:val="OCRStyle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)ד( קבע השר כאמור בסעיף קטן (ג)(1) או (2) -</w:t>
                  </w:r>
                </w:p>
                <w:p w:rsidR="000616DF" w:rsidRDefault="000616DF">
                  <w:pPr>
                    <w:pStyle w:val="OCRStyle3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(ו) והחזיק אדם, ללא אישור השר, בשליטה או באמצעי</w:t>
                  </w:r>
                </w:p>
                <w:p w:rsidR="000616DF" w:rsidRDefault="000616DF">
                  <w:pPr>
                    <w:pStyle w:val="OCRStyle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שליטה בנותן השירות החיוני מעל לשיעור שנקבע כאמור, יהא</w:t>
                  </w:r>
                </w:p>
                <w:p w:rsidR="000616DF" w:rsidRDefault="000616DF">
                  <w:pPr>
                    <w:pStyle w:val="OCRStyle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עליו למכרם; המחזיק או מי מטעמו לא יהא רשאי להפעיל את</w:t>
                  </w:r>
                </w:p>
                <w:p w:rsidR="000616DF" w:rsidRDefault="000616DF">
                  <w:pPr>
                    <w:pStyle w:val="OCRStyle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הזכויות מכוח השליטה או אמצעי השליטה שהוא מחזיק בהם,</w:t>
                  </w:r>
                </w:p>
                <w:p w:rsidR="000616DF" w:rsidRDefault="000616DF">
                  <w:pPr>
                    <w:pStyle w:val="OCRStyle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אלא לקבל דיבידנד בלבד;</w:t>
                  </w:r>
                </w:p>
                <w:p w:rsidR="000616DF" w:rsidRDefault="000616DF">
                  <w:pPr>
                    <w:pStyle w:val="OCRStyle3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(2) רשאי הוא לקבוע בצו, באישור הממשלה, תנאים, הוראות</w:t>
                  </w:r>
                </w:p>
                <w:p w:rsidR="000616DF" w:rsidRDefault="000616DF">
                  <w:pPr>
                    <w:pStyle w:val="OCRStyle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והגבלות על נותן השירות החיוני, וכן דרכי פיקוח וחובות דיווח</w:t>
                  </w:r>
                </w:p>
                <w:p w:rsidR="000616DF" w:rsidRDefault="000616DF">
                  <w:pPr>
                    <w:pStyle w:val="OCRStyle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על פעולותיו, והכל אם לדעתו הם דרושים להבטחת אכיפתן</w:t>
                  </w:r>
                </w:p>
                <w:p w:rsidR="000616DF" w:rsidRDefault="000616DF">
                  <w:pPr>
                    <w:pStyle w:val="OCRStyle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של מגבלות השליטה וההחזקה, או מגבלת הישראליות, ובכלל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זה הוראות לענין דיווח, ניהול ורישום מיוחדים של המחזיקים</w:t>
                  </w:r>
                </w:p>
                <w:p w:rsidR="000616DF" w:rsidRDefault="000616DF">
                  <w:pPr>
                    <w:pStyle w:val="OCRStyle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בניירות הערך שלו, דרך כלל או בשיעורים שנקבעו, או הוראות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לענין מגבלות שיחולו על הקצאה של ניירות ערך של התאגיד,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וכן הגבלות על השימוש באמצעי שליטה ובזכויות הצמודות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להן, או בדבר תוקפן, כלפי התאגיד, של פעולות שבוצעו או</w:t>
                  </w:r>
                </w:p>
                <w:p w:rsidR="000616DF" w:rsidRDefault="000616DF">
                  <w:pPr>
                    <w:pStyle w:val="OCRStyle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החלטות שנתקבלו בניגוד להגבלות שהוטלו, בידי מי שלא קיבל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אישור לשלוט בתאגיד או להחזיק באמצעי שליטה בו;</w:t>
                  </w:r>
                </w:p>
                <w:p w:rsidR="000616DF" w:rsidRDefault="000616DF">
                  <w:pPr>
                    <w:pStyle w:val="OCRStyle3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(3) רשאי הוא לקבוע בצו הוראות ותנאים בדבר החזקה של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אמצעי שליטה או שליטה בנותן השירות החיוני, לרבות</w:t>
                  </w:r>
                </w:p>
                <w:p w:rsidR="000616DF" w:rsidRDefault="000616DF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הוראות המחלות את תוקפן של פעולות בהן, כולן או מקצתן,</w:t>
                  </w:r>
                </w:p>
                <w:p w:rsidR="000616DF" w:rsidRDefault="000616DF">
                  <w:pPr>
                    <w:pStyle w:val="OCRStyle3"/>
                    <w:ind w:left="479"/>
                  </w:pPr>
                  <w:r>
                    <w:rPr>
                      <w:rtl/>
                    </w:rPr>
                    <w:t>באישור השר מראש, אשר רשאי לסרב לתיתן אם כתוצאה מהן</w:t>
                  </w:r>
                </w:p>
              </w:txbxContent>
            </v:textbox>
            <w10:wrap anchorx="page" anchory="page"/>
          </v:shape>
        </w:pict>
      </w:r>
    </w:p>
    <w:p w:rsidR="008C4C0F" w:rsidRDefault="008C4C0F">
      <w:pPr>
        <w:rPr>
          <w:rtl/>
        </w:rPr>
      </w:pPr>
      <w:r>
        <w:rPr>
          <w:rtl/>
        </w:rPr>
        <w:br w:type="page"/>
      </w:r>
    </w:p>
    <w:p w:rsidR="008C4C0F" w:rsidRDefault="00000000">
      <w:pPr>
        <w:rPr>
          <w:rtl/>
        </w:rPr>
      </w:pPr>
      <w:r>
        <w:pict>
          <v:shape id="_x0000_s45477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5477" inset="0,0,0,0">
              <w:txbxContent>
                <w:p w:rsidR="000616DF" w:rsidRDefault="000616DF">
                  <w:r>
                    <w:rPr>
                      <w:rtl/>
                    </w:rPr>
                    <w:t>261                                         ספר החוקים 1586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78" o:spid="_x0000_s1037" type="#_x0000_t202" style="position:absolute;left:0;text-align:left;margin-left:303.2pt;margin-top:668.8pt;width:252.25pt;height:74.05pt;z-index:13;mso-position-horizontal-relative:page;mso-position-vertical-relative:page" stroked="f">
            <v:textbox style="mso-next-textbox:#_x0000_s45478" inset="0,0,0,0">
              <w:txbxContent>
                <w:p w:rsidR="000616DF" w:rsidRDefault="000616DF">
                  <w:pPr>
                    <w:pStyle w:val="OCRStyle4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3 ס"ח התשכ"ח, עמ' 234; התשנ''ד, עמ' 344.</w:t>
                  </w:r>
                </w:p>
                <w:p w:rsidR="000616DF" w:rsidRPr="008C4C0F" w:rsidRDefault="000616DF">
                  <w:pPr>
                    <w:pStyle w:val="OCRStyle4"/>
                    <w:ind w:left="281"/>
                  </w:pPr>
                  <w:r>
                    <w:rPr>
                      <w:rtl/>
                    </w:rPr>
                    <w:t>4 דיני מדינת ישראל, נוסח חדש 6, עמ' 120: ס"ח התשנ"ו, עמ' .79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79" o:spid="_x0000_s1038" type="#_x0000_t202" style="position:absolute;left:0;text-align:left;margin-left:160.2pt;margin-top:62.7pt;width:390.05pt;height:586.3pt;z-index:12;mso-position-horizontal-relative:page;mso-position-vertical-relative:page" stroked="f">
            <v:textbox style="mso-next-textbox:#_x0000_s45479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8"/>
                    <w:gridCol w:w="1174"/>
                  </w:tblGrid>
                  <w:tr w:rsidR="000616DF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חשש שיופרו מגבלות השליטה וההחזקה או מגבלת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הישראליות.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שניתנו בצו לפי סעיף זה יהיו חלק מהרשיון.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סעיף זה -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שליטה" - כמשמעותם בסעיף 6א;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"החזקה" - לרבות רכישה וכן שניהם כאחד, כמשמעותם של מונחים אלה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ניירות ערך, התשכ"ח-51968 (להלן - חוק ניירות ערך), ולרבות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או שעבוד;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"פירוק מרצון" ו"הסדר" - כמשמעותם בפקודת החברות;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"מיזוג" הפיצול" - כמשמעותם בפקודת מס הכנסה4;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כמשמעותה בחוק ניירות ערך, בין במישרין ובין בעקיפין.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616DF" w:rsidRPr="008C4C0F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4ה. (א) חדל בעל רשיון לתת שירות שנקבע כשירות חיוני לפי סעיף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4ד, או סבור השר שקיים חשש סביר כי בעל רשיון יחדל לתת שירות חיוני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ונוכח השר שיש הכרח להבטיח רציפות במתן השירות או למנוע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שיבוש או הפסקה שלו, רשאי הוא, באישור הממשלה, להורות בצו לבעל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לספק את השירות לפי הרשיון, לתקופה ובתנאים שיורה.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לפי סעיף קטן (א), ומי שהצו חל עליו לא מילא אחר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בו, רשאי השר, בצו, למנות אדם שיופקד על מתן השירות החיוני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ניהול מיתקני הבזק שבאמצעותם ניתן השירות החיוני (להלן -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הממונה), ורשאי הוא לפרט בצו את תפקידיו.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במילוי תפקידיו לפי סעיף זה, יפעל הממונה לפי הוראות השר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ויהיו לו כל הסמכויות הדרושות להבטחת קיומו של השירות החיוני,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הסמכויות הדרושות לניהולו של התאגיד.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הופסק מתן שירות חיוני בשל סיום תוקפו של הרשיון, ביטולו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הגבלתו, ונוכח השר כי קיים הכרח להבטיח רציפות במתן השירות, וכי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השירות עלולה לפגוע באופן מהותי ומיידי בשירות החיוני, רשאי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לפעול כאמור בסעיפים קטנים (א) עד (ג), ואם נוכח כי בנסיבות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לא ניתן לקיים את השירות החיוני בידי בעל הרשיון, רשאי הוא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מיד את הממונה.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מינויו של הממונה לפי סעיף זה יהיה לתקופה שיקבע השר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ושלא תעלה על שנה אחת; השר רשאי להאריך את המינוי לתקופה אחת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שלא תעלה על שנה אחת, וכן רשאי הוא להחליפו בכל עת.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בהוראות סעיף זה כדי לגרוע מזכותו של בעל הרשיון לקבל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שימוש ראויים בעד השימוש במיתקניו ופיצוי מאת המדינה, בכפוף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דין או לחובותיו על-פי רשיונו, בעד נזקים שנגרמו לו עקב מינוי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 שירות</w:t>
                        </w:r>
                      </w:p>
                      <w:p w:rsidR="000616D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חיוני בידי</w:t>
                        </w:r>
                      </w:p>
                      <w:p w:rsidR="000616DF" w:rsidRPr="008C4C0F" w:rsidRDefault="000616D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</w:t>
                        </w:r>
                      </w:p>
                    </w:tc>
                  </w:tr>
                </w:tbl>
                <w:p w:rsidR="000616DF" w:rsidRDefault="000616D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616DF" w:rsidRDefault="000616DF">
      <w:pPr>
        <w:rPr>
          <w:rtl/>
        </w:rPr>
      </w:pPr>
      <w:r>
        <w:rPr>
          <w:rtl/>
        </w:rPr>
        <w:br w:type="page"/>
      </w:r>
    </w:p>
    <w:p w:rsidR="000616DF" w:rsidRDefault="00000000">
      <w:pPr>
        <w:rPr>
          <w:rtl/>
        </w:rPr>
      </w:pPr>
      <w:r>
        <w:pict>
          <v:shape id="_x0000_s45480" o:spid="_x0000_s1039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5480" inset="0,0,0,0">
              <w:txbxContent>
                <w:p w:rsidR="000616DF" w:rsidRDefault="000616DF">
                  <w:r>
                    <w:rPr>
                      <w:rtl/>
                    </w:rPr>
                    <w:t>262                                         ספר החוקים 1586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81" o:spid="_x0000_s1040" type="#_x0000_t202" style="position:absolute;left:0;text-align:left;margin-left:78.9pt;margin-top:691.3pt;width:3in;height:35.25pt;z-index:20;mso-position-horizontal-relative:page;mso-position-vertical-relative:page" stroked="f">
            <v:textbox style="mso-next-textbox:#_x0000_s45481" inset="0,0,0,0">
              <w:txbxContent>
                <w:p w:rsidR="000616DF" w:rsidRDefault="000616D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5482" o:spid="_x0000_s1041" type="#_x0000_t202" style="position:absolute;left:0;text-align:left;margin-left:89.2pt;margin-top:247pt;width:83.35pt;height:34.45pt;z-index:19;mso-position-horizontal-relative:page;mso-position-vertical-relative:page" stroked="f">
            <v:textbox style="mso-next-textbox:#_x0000_s45482" inset="0,0,0,0">
              <w:txbxContent>
                <w:p w:rsidR="000616DF" w:rsidRDefault="000616DF">
                  <w:pPr>
                    <w:pStyle w:val="OCRStyle5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שולמית אלוני</w:t>
                  </w:r>
                </w:p>
                <w:p w:rsidR="000616DF" w:rsidRDefault="000616DF">
                  <w:pPr>
                    <w:pStyle w:val="OCRStyle5"/>
                    <w:ind w:left="169"/>
                  </w:pPr>
                  <w:r>
                    <w:rPr>
                      <w:rtl/>
                    </w:rPr>
                    <w:t>שרת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83" o:spid="_x0000_s1042" type="#_x0000_t202" style="position:absolute;left:0;text-align:left;margin-left:181.25pt;margin-top:272.95pt;width:81.75pt;height:39.6pt;z-index:18;mso-position-horizontal-relative:page;mso-position-vertical-relative:page" stroked="f">
            <v:textbox style="mso-next-textbox:#_x0000_s45483" inset="0,0,0,0">
              <w:txbxContent>
                <w:p w:rsidR="000616DF" w:rsidRDefault="000616DF">
                  <w:pPr>
                    <w:pStyle w:val="OCRStyle5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616DF" w:rsidRDefault="000616DF">
                  <w:pPr>
                    <w:pStyle w:val="OCRStyle5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84" o:spid="_x0000_s1043" type="#_x0000_t202" style="position:absolute;left:0;text-align:left;margin-left:282.85pt;margin-top:249.55pt;width:76.65pt;height:30.3pt;z-index:17;mso-position-horizontal-relative:page;mso-position-vertical-relative:page" stroked="f">
            <v:textbox style="mso-next-textbox:#_x0000_s45484" inset="0,0,0,0">
              <w:txbxContent>
                <w:p w:rsidR="000616DF" w:rsidRDefault="000616DF">
                  <w:pPr>
                    <w:pStyle w:val="OCRStyle5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616DF" w:rsidRDefault="000616DF">
                  <w:pPr>
                    <w:pStyle w:val="OCRStyle5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85" o:spid="_x0000_s1044" type="#_x0000_t202" style="position:absolute;left:0;text-align:left;margin-left:375.9pt;margin-top:276.3pt;width:77.4pt;height:34.45pt;z-index:16;mso-position-horizontal-relative:page;mso-position-vertical-relative:page" stroked="f">
            <v:textbox style="mso-next-textbox:#_x0000_s45485" inset="0,0,0,0">
              <w:txbxContent>
                <w:p w:rsidR="000616DF" w:rsidRDefault="000616DF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616DF" w:rsidRDefault="000616DF">
                  <w:pPr>
                    <w:pStyle w:val="OCRStyle5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86" o:spid="_x0000_s1045" type="#_x0000_t202" style="position:absolute;left:0;text-align:left;margin-left:82.25pt;margin-top:66.2pt;width:450.25pt;height:175.65pt;z-index:15;mso-position-horizontal-relative:page;mso-position-vertical-relative:page" stroked="f">
            <v:textbox style="mso-next-textbox:#_x0000_s4548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6"/>
                    <w:gridCol w:w="1141"/>
                  </w:tblGrid>
                  <w:tr w:rsidR="000616DF" w:rsidRPr="000616DF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0616DF" w:rsidRDefault="000616D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13(א) לחוק העיקרי, במקום "על האופן והדרכים למתן שירותי" יבוא "על מתן</w:t>
                        </w:r>
                      </w:p>
                      <w:p w:rsidR="000616DF" w:rsidRDefault="000616D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בזק, דרך כלל או לצורך מסוים" ובסופו יבוא "ועל האופן והדרכים למתן שירות בזק</w:t>
                        </w:r>
                      </w:p>
                      <w:p w:rsidR="000616DF" w:rsidRDefault="000616D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0616DF" w:rsidRPr="000616DF" w:rsidRDefault="000616D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0616DF" w:rsidRPr="000616DF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0616DF" w:rsidRDefault="000616D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הוראת סעיף 4ד(ד)(3) לחוק העיקרי, לא תחול על מי שהיה בעל רשיון לפני</w:t>
                        </w:r>
                      </w:p>
                      <w:p w:rsidR="000616DF" w:rsidRDefault="000616D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ושברשיונו הותרו במפורש העברה, שעבוד או עיקול של אמצעי שליטה</w:t>
                        </w:r>
                      </w:p>
                      <w:p w:rsidR="000616DF" w:rsidRDefault="000616D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ובמידה שהותרו כאמור.</w:t>
                        </w:r>
                      </w:p>
                      <w:p w:rsidR="000616DF" w:rsidRDefault="000616D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שהחזיק אמצעי שליטה בבעל רשיון ביום ב' באדר התשנ''ו (22 בפברואר</w:t>
                        </w:r>
                      </w:p>
                      <w:p w:rsidR="000616DF" w:rsidRDefault="000616D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1996), יראו את החזקתו באותו מועד, בשיעור הטעון אישור לפי חוק זה, שרווח עליה כדין,</w:t>
                        </w:r>
                      </w:p>
                      <w:p w:rsidR="000616DF" w:rsidRDefault="000616D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אושרה בידי השר כאמור בסעיף 4ד(ג)(1) ו-(2), ואולם כל החזקה מעבר להחזקותיו</w:t>
                        </w:r>
                      </w:p>
                      <w:p w:rsidR="000616DF" w:rsidRDefault="000616D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האמור טעונה אישור השר בכתב ומראש; אין בהוראות סעיף קטן זה כדי לגרוע</w:t>
                        </w:r>
                      </w:p>
                      <w:p w:rsidR="000616DF" w:rsidRPr="000616DF" w:rsidRDefault="000616D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מהחובה לקבל אישור השר לכל החזקה נוספת בשיעורים שייקבעו בצו.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0616DF" w:rsidRPr="000616DF" w:rsidRDefault="000616D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0616DF" w:rsidRDefault="000616D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C36B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DF7265-36C8-4066-858B-D48942505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C36B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C143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F2BE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C4C0F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616D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2008-04-07T13:06:00Z</dcterms:created>
  <dcterms:modified xsi:type="dcterms:W3CDTF">2008-04-07T13:06:00Z</dcterms:modified>
</cp:coreProperties>
</file>