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60E8" w:rsidRDefault="00AF60E8">
      <w:pPr>
        <w:rPr>
          <w:rtl/>
        </w:rPr>
      </w:pPr>
    </w:p>
    <w:p w:rsidR="00AF60E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61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5615" inset="0,0,0,0">
              <w:txbxContent>
                <w:p w:rsidR="00DC3A1D" w:rsidRDefault="00DC3A1D">
                  <w:r>
                    <w:rPr>
                      <w:rtl/>
                    </w:rPr>
                    <w:t>230                                         ספר החוקים 1581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16" o:spid="_x0000_s1026" type="#_x0000_t202" style="position:absolute;left:0;text-align:left;margin-left:92.8pt;margin-top:716.5pt;width:186.7pt;height:20.8pt;z-index:4;mso-position-horizontal-relative:page;mso-position-vertical-relative:page" stroked="f">
            <v:textbox style="mso-next-textbox:#_x0000_s45616" inset="0,0,0,0">
              <w:txbxContent>
                <w:p w:rsidR="00DC3A1D" w:rsidRDefault="00DC3A1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617" o:spid="_x0000_s1027" type="#_x0000_t202" style="position:absolute;left:0;text-align:left;margin-left:91.8pt;margin-top:664.05pt;width:394.4pt;height:47.3pt;z-index:3;mso-position-horizontal-relative:page;mso-position-vertical-relative:page" stroked="f">
            <v:textbox style="mso-next-textbox:#_x0000_s45617" inset="0,0,0,0">
              <w:txbxContent>
                <w:p w:rsidR="00DC3A1D" w:rsidRDefault="00DC3A1D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באדר התשנ"ו (11 במרס 1996); הצעות החוק ודברי ההסבר פורסמו בהצעות חוק</w:t>
                  </w:r>
                </w:p>
                <w:p w:rsidR="00DC3A1D" w:rsidRDefault="00DC3A1D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2357, מיום כ-ב בשבט התשנ"ה (23 בינואר 1995), עמ' 274 ובהצעות חוק 2377, מיום כ''ז באדר א' התשנ'ה</w:t>
                  </w:r>
                </w:p>
                <w:p w:rsidR="00DC3A1D" w:rsidRDefault="00DC3A1D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(27 בפברואר 1995), עמ' .373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18" o:spid="_x0000_s1028" type="#_x0000_t202" style="position:absolute;left:0;text-align:left;margin-left:87.65pt;margin-top:89.85pt;width:463.1pt;height:570.85pt;z-index:2;mso-position-horizontal-relative:page;mso-position-vertical-relative:page" stroked="f">
            <v:textbox style="mso-next-textbox:#_x0000_s4561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1"/>
                    <w:gridCol w:w="1219"/>
                  </w:tblGrid>
                  <w:tr w:rsidR="00DC3A1D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DC3A1D" w:rsidRDefault="00DC3A1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חוק זה נועד לקדם שוויון ולמנוע אפליה בין המינים בכל הנוגע לשכר או לבל גמול</w:t>
                        </w:r>
                      </w:p>
                      <w:p w:rsidR="00DC3A1D" w:rsidRPr="00AF60E8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בקשר לעבודה.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  <w:tr w:rsidR="00DC3A1D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עובדת ועובד המועסקים אצל אותו מעביד באותו מקום עבודה, זכאים לשכר שווה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אותה עבודה, עבודה שווה בעיקרה או עבודה שוות ערך; הוראה זו תחול גם לענין כל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גמול אחר, שנותן מעביד לעובד או עבורו בקשר לעבודתו; לענין חוק זה, "גמול אחר'' - כל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תוספת, טובת הנאה, קצובה, מענק, תנאים נלווים, תשלום לכיסוי הוצאות, תשלומים בשל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רכב, שימוש בטלפון, מכסת שעות נוספות, רכישת ספרות מקצועית, ביגוד, שימוש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ברכב, או כל תגמול אחר בכסף או בשווה כסף, במישרין או בעקיפין, והכל אף אם אינם שכר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לשכר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שווה</w:t>
                        </w:r>
                      </w:p>
                    </w:tc>
                  </w:tr>
                  <w:tr w:rsidR="00DC3A1D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יראו עבודה כשוות ערך לחברתה, אף אם הן אינן אותן עבודות או עבודות השוות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בעיקרן זו לזו, אם הן בעלות משקל שווה, בין היתר מבחינת הכישורים, המאמץ, המיומנות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והאחריות הנדרשים לביצוען ומבחינת התנאים הסביבתיים שבהם הן מבוצעות.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שוות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</w:t>
                        </w:r>
                      </w:p>
                    </w:tc>
                  </w:tr>
                  <w:tr w:rsidR="00DC3A1D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לבית הדין לעבודה סמכות ייחודית לדון בתובענות לפי חוק זה.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שיפוט</w:t>
                        </w:r>
                      </w:p>
                    </w:tc>
                  </w:tr>
                  <w:tr w:rsidR="00DC3A1D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א)( בתובענה לפי חוק זה רשאי בית הדין לעבודה, על פי בקשת אחד הצדדים,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מומחה לניתוח עיסוקים מטעמו של בית הדין, אשר יחווה את רעתו לענין השאלה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האם העבודות שבמחלוקת הן אותן עבודות, עבודות שוות בעיקרן או עבודות שוות ערך,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 (להלן - המומחה); לא ביקש צד כלשהו למנות מומחה, רשאי בית הרין למנותו,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ראה צורך בכך, בנסיבות מיוחדות.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לעבודה רשאי לקבוע את שכר טרחתו והוצאותיו של המומחה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שישולמו על ידי בעלי הדין או על ידי חלק מהם, או בנסיבות מיוחדות ומנימוקים שיירשמו,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מאוצר המדינה. הכל כפי שקבע בית הדין.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המשפטים, בהתייעצות עם שר העבודה והרווחה, רשאי לקבוע סדרי דין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מתן חוות דעת המומחה, מינויו, סמכויותיו וחובותיו, ובהסכמת שר האוצר - את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התעריף המרבי של שכר הטרחה שישולם לו.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מומחה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לניתוח עיסוקים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בית הדין</w:t>
                        </w:r>
                      </w:p>
                    </w:tc>
                  </w:tr>
                  <w:tr w:rsidR="00DC3A1D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אין בהוראות סעיף 2 כדי למנוע הפרש בשכר או בגמול אחר המתחייב מאופיה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ממהותה של העבודה הנדונה ובכלל זה תפוקת העבודה, איכות העבודה, הוותק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בעבודה, ההכשרה או ההשכלה, או מיקומו הגיאוגרפי של מקום העבודה, והכל כשאין בכך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משום אפליה מטעמי מין.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בית הדין לעבודה, בתובענה לפי חוק זה, כי העבודות שבמחלוקת הינן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עבודות, עבודות שוות בעיקרן או עבודות שוות ערך, וטען המעביד שקיימות נסיבות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המצדיקות הפרש בשכר או בגמול אחר, עליו נטל ההוכחה.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 בשכר</w:t>
                        </w:r>
                      </w:p>
                    </w:tc>
                  </w:tr>
                  <w:tr w:rsidR="00DC3A1D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מעביד ימסור לעובדו, לפי דרישת העובד, מידע לענין חוק זה בדבר רמות שכר של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המועסקים אצלו, לפי סוגי עובדים, סוגי משרות או סוגי דירוגים, ובלבד שהמעביד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חייב למסור מידע אלא במידה הדרושה לפי הענין, שיימנע מגילוי פרטים מזהים של</w:t>
                        </w:r>
                      </w:p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עובדים, ושאין במסירת המידע הפרה של כל דין אחר.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C3A1D" w:rsidRDefault="00DC3A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</w:tc>
                  </w:tr>
                </w:tbl>
                <w:p w:rsidR="00DC3A1D" w:rsidRDefault="00DC3A1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619" o:spid="_x0000_s1029" type="#_x0000_t202" style="position:absolute;left:0;text-align:left;margin-left:159.15pt;margin-top:59.75pt;width:265.9pt;height:26.75pt;z-index:1;mso-position-horizontal-relative:page;mso-position-vertical-relative:page" stroked="f">
            <v:textbox style="mso-next-textbox:#_x0000_s45619" inset="0,0,0,0">
              <w:txbxContent>
                <w:p w:rsidR="00DC3A1D" w:rsidRPr="00AF60E8" w:rsidRDefault="00DC3A1D">
                  <w:pPr>
                    <w:pStyle w:val="OCRStyle1"/>
                    <w:ind w:left="28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שכר שווה לעובדת ולעובד, התשנ"ו- 1996*</w:t>
                  </w:r>
                </w:p>
              </w:txbxContent>
            </v:textbox>
            <w10:wrap anchorx="page" anchory="page"/>
          </v:shape>
        </w:pict>
      </w:r>
    </w:p>
    <w:p w:rsidR="00421EA5" w:rsidRDefault="00421EA5">
      <w:pPr>
        <w:rPr>
          <w:rtl/>
        </w:rPr>
      </w:pPr>
      <w:r>
        <w:rPr>
          <w:rtl/>
        </w:rPr>
        <w:br w:type="page"/>
      </w:r>
    </w:p>
    <w:p w:rsidR="00421EA5" w:rsidRDefault="00000000">
      <w:pPr>
        <w:rPr>
          <w:rtl/>
        </w:rPr>
      </w:pPr>
      <w:r>
        <w:pict>
          <v:shape id="_x0000_s45620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5620" inset="0,0,0,0">
              <w:txbxContent>
                <w:p w:rsidR="00DC3A1D" w:rsidRDefault="00DC3A1D">
                  <w:r>
                    <w:rPr>
                      <w:rtl/>
                    </w:rPr>
                    <w:t>231                                         ספר החוקים 1581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21" o:spid="_x0000_s1031" type="#_x0000_t202" style="position:absolute;left:0;text-align:left;margin-left:354.75pt;margin-top:672.25pt;width:186.9pt;height:60.4pt;z-index:7;mso-position-horizontal-relative:page;mso-position-vertical-relative:page" stroked="f">
            <v:textbox style="mso-next-textbox:#_x0000_s45621" inset="0,0,0,0">
              <w:txbxContent>
                <w:p w:rsidR="00DC3A1D" w:rsidRDefault="00DC3A1D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1 ס"ח התשי"ח, עמ' 86.</w:t>
                  </w:r>
                </w:p>
                <w:p w:rsidR="00DC3A1D" w:rsidRDefault="00DC3A1D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2 ס"ח התשי''ז, עמ' 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22" o:spid="_x0000_s1032" type="#_x0000_t202" style="position:absolute;left:0;text-align:left;margin-left:86.25pt;margin-top:63.6pt;width:455.4pt;height:606.1pt;z-index:6;mso-position-horizontal-relative:page;mso-position-vertical-relative:page" stroked="f">
            <v:textbox style="mso-next-textbox:#_x0000_s4562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6955"/>
                  </w:tblGrid>
                  <w:tr w:rsidR="00DC3A1D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שכר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גמול אחר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עובד אינו זכאי להפרשי שכר או גמול אחר מכוח הוראות חוק זה לגבי תקופה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עשרים וארבעה החודשים שקדמו ליום הגשת התובענה.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הגיעו לעובד הפרשי שכר שנקבע מועד לתשלומו לפי חוק הגנת השכר,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התשי''ח-1958 1, מכוח תובענה לפי חוק זה יהיה המועד לתשלומם לענין החוק האמור -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השמיני שלאחר מתן פסק הדין, ו"היום הקובע' - היום התשיעי שלאחר מועד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האמור.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הורה בית הדין לעבודה על עיכוב ביצוע פסק דין בתובענה לפי חוק זה עד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להכרעה בערעור, לא יחולו פיצויי הלנת שכר כמשמעותם בחוק הגנת השכר,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התשי"ח-1958, על הפרשי שכר מכוח פסק דין כאמור, לגבי התקופה שמיום מתן פסק הדין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להכרעה בערעור, אלא אם כן נקבע אחרת בפסק דין שבערעור.</w:t>
                        </w:r>
                      </w:p>
                    </w:tc>
                  </w:tr>
                  <w:tr w:rsidR="00DC3A1D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התביעה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תובענה לפי חוק זה יכול שתוגש בידי -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העובד;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ארגון העובדים היציג באותו מקום עבודה, ובין ארגון עובדים כאמור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ובהסכמת העובד, בידי ארגון העובדים שהעובד חבר בו;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בהסכמת העובד - בירי ארגון העוסק בזכויות נשים; בסעיף זה, "ארגון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יציג" - כמשמעותו בחוק הסכמים קיבוציים, התשי"ז-957ו2.</w:t>
                        </w:r>
                      </w:p>
                    </w:tc>
                  </w:tr>
                  <w:tr w:rsidR="00DC3A1D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התערבות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בתובענות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בתובענה לפי חוק זה רשאי בית-הדין לעבודה לתת לארגון העוסק בזכויות נשים,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העלול להיפגע מהתובענה או לארגון עובדים יציג או ארגון עובדים אחר כאמור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9, גם אם אינם צדדים לתובענה, להשמיע את דברם, בדרך שיורה.</w:t>
                        </w:r>
                      </w:p>
                    </w:tc>
                  </w:tr>
                  <w:tr w:rsidR="00DC3A1D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ייצוגית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עובד רשאי לתבוע, בכפוף להוראות סעיף זה, בשם קבוצת עובדים בעילה אשר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פיה הוא יכול, על פי חוק זה, לתבוע בשמו (להלן - תובענה ייצוגית).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פסק-דין בתובענה ייצוגית יהווה מעשה בית דין לגבי כל הנמנים עם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הקבוצה.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הגשת תובענה ייצוגית טעונה אישור בית-הדין לעבודה, והוא יאשרה אלא אם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שוכנע שנתקיימו תנאים אלה: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התובענה הוגשה בתום לב;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גודלה של הקבוצה מצדיק הגשת התובענה כתובענה ייצוגית;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התובענה הייצוגית היא הדרך היעילה וההוגנת ביותר להכרעה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במחלוקת, בנסיבות הענין;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קיים יסוד להניח כי התובע מייצג בדרך הולמת את עניינם של כל הנמנים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הקבוצה-,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אישר בית-הדין את הגשת התובענה כתובענה ייצוגית, יגדיר תחילה את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קבוצת העובדים שבשמה תוגש התובענה ויורה על אופן פרסום החלטתו.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יראו כל מי שנמנה עם הקבוצה שהגדיר בית הדין כמי שהסכים להגשת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התובענה כתובענה ייצוגית, אלא אם כן הודיע לבית הרין על רצונו שלא להיכלל בקבוצה,</w:t>
                        </w:r>
                      </w:p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ארבעים וחמישה ימים מיום פרסומה של החלטת בית הדין.</w:t>
                        </w:r>
                      </w:p>
                    </w:tc>
                  </w:tr>
                  <w:tr w:rsidR="00DC3A1D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0" w:type="pct"/>
                      </w:tcPr>
                      <w:p w:rsidR="00DC3A1D" w:rsidRDefault="00DC3A1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C3A1D" w:rsidRDefault="00DC3A1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C3A1D" w:rsidRDefault="00DC3A1D">
      <w:pPr>
        <w:rPr>
          <w:rtl/>
        </w:rPr>
      </w:pPr>
      <w:r>
        <w:rPr>
          <w:rtl/>
        </w:rPr>
        <w:br w:type="page"/>
      </w:r>
    </w:p>
    <w:p w:rsidR="00DC3A1D" w:rsidRDefault="00000000">
      <w:pPr>
        <w:rPr>
          <w:rtl/>
        </w:rPr>
      </w:pPr>
      <w:r>
        <w:pict>
          <v:shape id="_x0000_s45623" o:spid="_x0000_s1033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5623" inset="0,0,0,0">
              <w:txbxContent>
                <w:p w:rsidR="00DC3A1D" w:rsidRDefault="00DC3A1D">
                  <w:r>
                    <w:rPr>
                      <w:rtl/>
                    </w:rPr>
                    <w:t>232                                         ספר החוקים 1581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24" o:spid="_x0000_s1034" type="#_x0000_t202" style="position:absolute;left:0;text-align:left;margin-left:88.1pt;margin-top:697.95pt;width:218.6pt;height:37.8pt;z-index:15;mso-position-horizontal-relative:page;mso-position-vertical-relative:page" stroked="f">
            <v:textbox style="mso-next-textbox:#_x0000_s45624" inset="0,0,0,0">
              <w:txbxContent>
                <w:p w:rsidR="00DC3A1D" w:rsidRDefault="00DC3A1D">
                  <w:pPr>
                    <w:pStyle w:val="OCRStyle3"/>
                    <w:rPr>
                      <w:rtl/>
                    </w:rPr>
                  </w:pPr>
                </w:p>
                <w:p w:rsidR="00DC3A1D" w:rsidRDefault="00DC3A1D">
                  <w:pPr>
                    <w:pStyle w:val="OCRStyle3"/>
                    <w:ind w:left="86"/>
                  </w:pPr>
                  <w:r>
                    <w:rPr>
                      <w:rtl/>
                    </w:rPr>
                    <w:t>סודר בסדר-צילום והודפס במדפיס הממשלתי"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25" o:spid="_x0000_s1035" type="#_x0000_t202" style="position:absolute;left:0;text-align:left;margin-left:364.3pt;margin-top:486.9pt;width:113.65pt;height:44.95pt;z-index:14;mso-position-horizontal-relative:page;mso-position-vertical-relative:page" stroked="f">
            <v:textbox style="mso-next-textbox:#_x0000_s45625" inset="0,0,0,0">
              <w:txbxContent>
                <w:p w:rsidR="00DC3A1D" w:rsidRDefault="00DC3A1D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3 ס"ח התשי"ט, עמ' 86.</w:t>
                  </w:r>
                </w:p>
                <w:p w:rsidR="00DC3A1D" w:rsidRPr="00DC3A1D" w:rsidRDefault="00DC3A1D">
                  <w:pPr>
                    <w:pStyle w:val="OCRStyle3"/>
                    <w:ind w:left="176"/>
                  </w:pPr>
                  <w:r>
                    <w:rPr>
                      <w:rtl/>
                    </w:rPr>
                    <w:t>4 ס"ח התשכ"ד, עמ' 166.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26" o:spid="_x0000_s1036" type="#_x0000_t202" style="position:absolute;left:0;text-align:left;margin-left:215.45pt;margin-top:437pt;width:86.15pt;height:27.5pt;z-index:13;mso-position-horizontal-relative:page;mso-position-vertical-relative:page" stroked="f">
            <v:textbox style="mso-next-textbox:#_x0000_s45626" inset="0,0,0,0">
              <w:txbxContent>
                <w:p w:rsidR="00DC3A1D" w:rsidRDefault="00DC3A1D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C3A1D" w:rsidRDefault="00DC3A1D">
                  <w:pPr>
                    <w:pStyle w:val="OCRStyle3"/>
                    <w:ind w:left="6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27" o:spid="_x0000_s1037" type="#_x0000_t202" style="position:absolute;left:0;text-align:left;margin-left:306.7pt;margin-top:408.7pt;width:78.4pt;height:30.1pt;z-index:12;mso-position-horizontal-relative:page;mso-position-vertical-relative:page" stroked="f">
            <v:textbox style="mso-next-textbox:#_x0000_s45627" inset="0,0,0,0">
              <w:txbxContent>
                <w:p w:rsidR="00DC3A1D" w:rsidRDefault="00DC3A1D">
                  <w:pPr>
                    <w:pStyle w:val="OCRStyle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DC3A1D" w:rsidRDefault="00DC3A1D">
                  <w:pPr>
                    <w:pStyle w:val="OCRStyle3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28" o:spid="_x0000_s1038" type="#_x0000_t202" style="position:absolute;left:0;text-align:left;margin-left:394.6pt;margin-top:436.2pt;width:85.15pt;height:37.8pt;z-index:11;mso-position-horizontal-relative:page;mso-position-vertical-relative:page" stroked="f">
            <v:textbox style="mso-next-textbox:#_x0000_s45628" inset="0,0,0,0">
              <w:txbxContent>
                <w:p w:rsidR="00DC3A1D" w:rsidRDefault="00DC3A1D">
                  <w:pPr>
                    <w:pStyle w:val="OCRStyle3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C3A1D" w:rsidRDefault="00DC3A1D">
                  <w:pPr>
                    <w:pStyle w:val="OCRStyle3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29" o:spid="_x0000_s1039" type="#_x0000_t202" style="position:absolute;left:0;text-align:left;margin-left:106.9pt;margin-top:406.1pt;width:106.7pt;height:29.3pt;z-index:10;mso-position-horizontal-relative:page;mso-position-vertical-relative:page" stroked="f">
            <v:textbox style="mso-next-textbox:#_x0000_s45629" inset="0,0,0,0">
              <w:txbxContent>
                <w:p w:rsidR="00DC3A1D" w:rsidRDefault="00DC3A1D">
                  <w:pPr>
                    <w:pStyle w:val="OCRStyle3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DC3A1D" w:rsidRDefault="00DC3A1D">
                  <w:pPr>
                    <w:pStyle w:val="OCRStyle3"/>
                    <w:ind w:left="76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30" o:spid="_x0000_s1040" type="#_x0000_t202" style="position:absolute;left:0;text-align:left;margin-left:93.25pt;margin-top:61.8pt;width:458.75pt;height:344.1pt;z-index:9;mso-position-horizontal-relative:page;mso-position-vertical-relative:page" stroked="f">
            <v:textbox style="mso-next-textbox:#_x0000_s4563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253"/>
                  </w:tblGrid>
                  <w:tr w:rsidR="00DC3A1D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תובע לא יסתלק מתובענה ייצוגית, ולא יעשה הסדר או פשרה עם נתבע, אלא</w:t>
                        </w:r>
                      </w:p>
                      <w:p w:rsid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בית-הדין לעבודה.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C3A1D" w:rsidRPr="00DC3A1D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זכותו של עובד לפי חוק זה, אינה ניתנת להתניה או לויתור.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DC3A1D" w:rsidRP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החנייה</w:t>
                        </w:r>
                      </w:p>
                    </w:tc>
                  </w:tr>
                  <w:tr w:rsidR="00DC3A1D" w:rsidRPr="00DC3A1D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הטבה הניתנת לעובד, בקשר להולדה או להורות, לא תילקח בחשבון לענין חוק</w:t>
                        </w:r>
                      </w:p>
                      <w:p w:rsidR="00DC3A1D" w:rsidRP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DC3A1D" w:rsidRP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</w:tc>
                  </w:tr>
                  <w:tr w:rsidR="00DC3A1D" w:rsidRPr="00DC3A1D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הוראות חוק זה יחולו על המדינה כמעביד ואולם -</w:t>
                        </w:r>
                      </w:p>
                      <w:p w:rsid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יראו כל משרד כהגדרתו בסעיף ו לחוק שירות המדינה (מינויים),</w:t>
                        </w:r>
                      </w:p>
                      <w:p w:rsid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התשי"ט-1959 3, כמקום עבודה נפרד;</w:t>
                        </w:r>
                      </w:p>
                      <w:p w:rsid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העבודה והרווחה ושר האוצר, באישור ועדת העבודה והרווחה של הכנסת,</w:t>
                        </w:r>
                      </w:p>
                      <w:p w:rsid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לקבוע בצו כי יחידה מסויימת או מספר יחידות באותו משרד הם מקום</w:t>
                        </w:r>
                      </w:p>
                      <w:p w:rsidR="00DC3A1D" w:rsidRP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נפרד.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DC3A1D" w:rsidRP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כמעביד</w:t>
                        </w:r>
                      </w:p>
                    </w:tc>
                  </w:tr>
                  <w:tr w:rsidR="00DC3A1D" w:rsidRPr="00DC3A1D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שר העבודה והרווחה ממונה על ביצוע חוק זה והוא רשאי להתקין תקנות בכל</w:t>
                        </w:r>
                      </w:p>
                      <w:p w:rsid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  <w:p w:rsid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המשפטים, לאחר התייעצות עם שר העבודה והרווחה, רשאי להתקין</w:t>
                        </w:r>
                      </w:p>
                      <w:p w:rsid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סדרי דין מיוחדים וקבלת ראיות לענין חוק זה בפני בית הדין לעבודה וכן בדבר</w:t>
                        </w:r>
                      </w:p>
                      <w:p w:rsidR="00DC3A1D" w:rsidRP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הדין בתובענה ייצוגית וניהולה לפי חוק זה.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DC3A1D" w:rsidRP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DC3A1D" w:rsidRPr="00DC3A1D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DC3A1D" w:rsidRP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חוק שכר שווה לעובדת ולעובד, התשכ"ד -1964 4 - בטל.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DC3A1D" w:rsidRP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DC3A1D" w:rsidRPr="00DC3A1D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DC3A1D" w:rsidRP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ו. תחילתו של חוק זה בתום ששה חודשים מפרסומו.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DC3A1D" w:rsidRPr="00DC3A1D" w:rsidRDefault="00DC3A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C3A1D" w:rsidRDefault="00DC3A1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F60E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E27E749-AC9C-4C37-9C4C-E816633D2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F60E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21EA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C3A1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21</Characters>
  <Application>Microsoft Office Word</Application>
  <DocSecurity>4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2008-04-07T13:03:00Z</dcterms:created>
  <dcterms:modified xsi:type="dcterms:W3CDTF">2008-04-07T13:03:00Z</dcterms:modified>
</cp:coreProperties>
</file>