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4AEA" w:rsidRDefault="00BF4AEA">
      <w:pPr>
        <w:rPr>
          <w:rtl/>
        </w:rPr>
      </w:pPr>
    </w:p>
    <w:p w:rsidR="00BF4A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0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805" inset="0,0,0,0">
              <w:txbxContent>
                <w:p w:rsidR="00BF4AEA" w:rsidRDefault="00BF4AEA">
                  <w:r>
                    <w:rPr>
                      <w:rtl/>
                    </w:rPr>
                    <w:t>174                                         ספר החוקים 1576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6" o:spid="_x0000_s1026" type="#_x0000_t202" style="position:absolute;left:0;text-align:left;margin-left:82.55pt;margin-top:698.25pt;width:221.15pt;height:48.9pt;z-index:8;mso-position-horizontal-relative:page;mso-position-vertical-relative:page" stroked="f">
            <v:textbox style="mso-next-textbox:#_x0000_s45806" inset="0,0,0,0">
              <w:txbxContent>
                <w:p w:rsidR="00BF4AEA" w:rsidRDefault="00BF4A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07" o:spid="_x0000_s1027" type="#_x0000_t202" style="position:absolute;left:0;text-align:left;margin-left:91.05pt;margin-top:529.35pt;width:394.4pt;height:85.35pt;z-index:7;mso-position-horizontal-relative:page;mso-position-vertical-relative:page" stroked="f">
            <v:textbox style="mso-next-textbox:#_x0000_s45807" inset="0,0,0,0">
              <w:txbxContent>
                <w:p w:rsidR="00BF4AEA" w:rsidRDefault="00BF4AE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באדר התשנ"</w:t>
                  </w:r>
                  <w:r>
                    <w:rPr>
                      <w:rtl/>
                    </w:rPr>
                    <w:tab/>
                    <w:t>ו (11 במרס 1996); הצעת החוק ודברי ההסבר פורסמו בהצעות חוק</w:t>
                  </w:r>
                </w:p>
                <w:p w:rsidR="00BF4AEA" w:rsidRDefault="00BF4AEA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2450, מיום כ*ח בחשון התשנ"ו (ו2 בנובמבר 1995), עמ' 245.</w:t>
                  </w:r>
                </w:p>
                <w:p w:rsidR="00BF4AEA" w:rsidRDefault="00BF4AEA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 ס'ח התשכ''ד, עמ' 172; התשל"ח, עמ' .206</w:t>
                  </w:r>
                </w:p>
                <w:p w:rsidR="00BF4AEA" w:rsidRDefault="00BF4AEA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 ס''ח התשמ'ה, 60; התשנ''ה, עמ' .144</w:t>
                  </w:r>
                </w:p>
                <w:p w:rsidR="00BF4AEA" w:rsidRPr="00BF4AEA" w:rsidRDefault="00BF4AEA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3 ס"ח התשל"ז, עמ' 226; התשמ"ב,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8" o:spid="_x0000_s1028" type="#_x0000_t202" style="position:absolute;left:0;text-align:left;margin-left:182.3pt;margin-top:483pt;width:94.85pt;height:33.45pt;z-index:6;mso-position-horizontal-relative:page;mso-position-vertical-relative:page" stroked="f">
            <v:textbox style="mso-next-textbox:#_x0000_s45808" inset="0,0,0,0">
              <w:txbxContent>
                <w:p w:rsidR="00BF4AEA" w:rsidRDefault="00BF4AEA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F4AEA" w:rsidRDefault="00BF4AE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09" o:spid="_x0000_s1029" type="#_x0000_t202" style="position:absolute;left:0;text-align:left;margin-left:97.2pt;margin-top:453.7pt;width:79.2pt;height:29.3pt;z-index:5;mso-position-horizontal-relative:page;mso-position-vertical-relative:page" stroked="f">
            <v:textbox style="mso-next-textbox:#_x0000_s45809" inset="0,0,0,0">
              <w:txbxContent>
                <w:p w:rsidR="00BF4AEA" w:rsidRDefault="00BF4AE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BF4AEA" w:rsidRDefault="00BF4AEA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0" o:spid="_x0000_s1030" type="#_x0000_t202" style="position:absolute;left:0;text-align:left;margin-left:284.9pt;margin-top:457.05pt;width:85.15pt;height:30.1pt;z-index:4;mso-position-horizontal-relative:page;mso-position-vertical-relative:page" stroked="f">
            <v:textbox style="mso-next-textbox:#_x0000_s45810" inset="0,0,0,0">
              <w:txbxContent>
                <w:p w:rsidR="00BF4AEA" w:rsidRDefault="00BF4AE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F4AEA" w:rsidRDefault="00BF4AE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1" o:spid="_x0000_s1031" type="#_x0000_t202" style="position:absolute;left:0;text-align:left;margin-left:380.3pt;margin-top:483pt;width:88.7pt;height:37.05pt;z-index:3;mso-position-horizontal-relative:page;mso-position-vertical-relative:page" stroked="f">
            <v:textbox style="mso-next-textbox:#_x0000_s45811" inset="0,0,0,0">
              <w:txbxContent>
                <w:p w:rsidR="00BF4AEA" w:rsidRDefault="00BF4AEA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F4AEA" w:rsidRDefault="00BF4AEA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12" o:spid="_x0000_s1032" type="#_x0000_t202" style="position:absolute;left:0;text-align:left;margin-left:87.9pt;margin-top:94.75pt;width:462.55pt;height:355.2pt;z-index:2;mso-position-horizontal-relative:page;mso-position-vertical-relative:page" stroked="f">
            <v:textbox style="mso-next-textbox:#_x0000_s458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3"/>
                    <w:gridCol w:w="1104"/>
                    <w:gridCol w:w="1534"/>
                  </w:tblGrid>
                  <w:tr w:rsidR="00BF4AEA" w:rsidRPr="00BF4AEA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הסדרת מקומות רחצה, התשכ"ד-1964 1. אחרי סעיף 5 יבוא:</w:t>
                        </w:r>
                      </w:p>
                    </w:tc>
                    <w:tc>
                      <w:tcPr>
                        <w:tcW w:w="912" w:type="pct"/>
                      </w:tcPr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BF4AEA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בסעיף זה, "מקום מרפא" - בריכות שחיה, מרחצאות או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מעיינות מרפא ששר הפנים, בהתייעצות עם שר התיירות ושר הבריאות,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הכריז עליהם בהודעה ברשומות בי הם מקום מרפא.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שבתחומה מקום מרפא, תקבע הסדרים ותייער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לרחצה נפרדת לגברים ולנשים; מועדים כאמור ייקבעו בשעות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ולמשך זמן שלא יפחת מחמש שעות שבועיות לגברים וחמש שעות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שבועיות לנשים.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מרפא לפי סעיף זה, יסדירו הבעלים, המחזיק, או שניהם,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הנחוץ כדי לאפשר לנכים גישה למקום המרפא ושימוש בו.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קטן זה יחול על מקום מרפא שהוא גוף מתוקצב כהגדרתו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21 לחוק יסודות התקציב, התשמ''ה - 1985 2, או גוף נתמך כהגדרתו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 לחוק האמור.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הפנים יקבע הוראות לענין קביעת מועדים לרחצה נפרדת</w:t>
                        </w:r>
                      </w:p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לגברים ולנשים ולעריכת סידורי גישה לנכים לפי סעיף זה."</w:t>
                        </w:r>
                      </w:p>
                    </w:tc>
                    <w:tc>
                      <w:tcPr>
                        <w:tcW w:w="656" w:type="pct"/>
                      </w:tcPr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''הוראות לענין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מרפא</w:t>
                        </w:r>
                      </w:p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מוכרז</w:t>
                        </w:r>
                      </w:p>
                    </w:tc>
                    <w:tc>
                      <w:tcPr>
                        <w:tcW w:w="912" w:type="pct"/>
                      </w:tcPr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F4AEA" w:rsidRPr="00BF4AEA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לחוק העיקרי, בסופו יבוא: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בעל או מחזיק של מקום מרפא אשר הפר הוראות שנקבעו לפי סעיף 5א לענין</w:t>
                        </w:r>
                      </w:p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שעות רחצה נפרדות לגברים ולנשים, ולענין התקנת סידורים לנכים,</w:t>
                        </w:r>
                      </w:p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הקנס הקבוע בסעיף 61(א)(2) לחוק העונשין, התשל"ז-1977 3".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BF4AEA" w:rsidRPr="00BF4AEA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הכרזה ראשונה על מקום מרפא ותקנות ראשונות לפי חוק זה יגיש שר הפנים לאישור</w:t>
                        </w:r>
                      </w:p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הכנסת, תוך ששה חודשים מיום תחילתו של חוק זה.</w:t>
                        </w:r>
                      </w:p>
                    </w:tc>
                    <w:tc>
                      <w:tcPr>
                        <w:tcW w:w="912" w:type="pct"/>
                      </w:tcPr>
                      <w:p w:rsid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BF4AEA" w:rsidRPr="00BF4AEA" w:rsidRDefault="00BF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BF4AEA" w:rsidRDefault="00BF4A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13" o:spid="_x0000_s1033" type="#_x0000_t202" style="position:absolute;left:0;text-align:left;margin-left:121.15pt;margin-top:73.95pt;width:319.35pt;height:17.4pt;z-index:1;mso-position-horizontal-relative:page;mso-position-vertical-relative:page" stroked="f">
            <v:textbox style="mso-next-textbox:#_x0000_s45813" inset="0,0,0,0">
              <w:txbxContent>
                <w:p w:rsidR="00BF4AEA" w:rsidRPr="00BF4AEA" w:rsidRDefault="00BF4AEA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הסדרת מקומות רחצה (תיקון סעיף 2), התשנ"ו-1996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4A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E5EAE8-29E9-4E3A-9306-BC15DDAA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4A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2008-04-07T12:58:00Z</dcterms:created>
  <dcterms:modified xsi:type="dcterms:W3CDTF">2008-04-07T12:59:00Z</dcterms:modified>
</cp:coreProperties>
</file>