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5B6B" w:rsidRDefault="00FD5B6B">
      <w:pPr>
        <w:rPr>
          <w:rtl/>
        </w:rPr>
      </w:pPr>
    </w:p>
    <w:p w:rsidR="00FD5B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98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983" inset="0,0,0,0">
              <w:txbxContent>
                <w:p w:rsidR="00FD5B6B" w:rsidRDefault="00FD5B6B">
                  <w:r>
                    <w:rPr>
                      <w:rtl/>
                    </w:rPr>
                    <w:t>20                                          ספר החוקים 1553                    ה' בטבת התשנ"ו 28.12.1995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84" o:spid="_x0000_s1026" type="#_x0000_t202" style="position:absolute;left:0;text-align:left;margin-left:78.1pt;margin-top:696.4pt;width:235.8pt;height:46.55pt;z-index:8;mso-position-horizontal-relative:page;mso-position-vertical-relative:page" stroked="f">
            <v:textbox style="mso-next-textbox:#_x0000_s45984" inset="0,0,0,0">
              <w:txbxContent>
                <w:p w:rsidR="00FD5B6B" w:rsidRDefault="00FD5B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85" o:spid="_x0000_s1027" type="#_x0000_t202" style="position:absolute;left:0;text-align:left;margin-left:79.85pt;margin-top:583.55pt;width:391.65pt;height:66.35pt;z-index:7;mso-position-horizontal-relative:page;mso-position-vertical-relative:page" stroked="f">
            <v:textbox style="mso-next-textbox:#_x0000_s45985" inset="0,0,0,0">
              <w:txbxContent>
                <w:p w:rsidR="00FD5B6B" w:rsidRDefault="00FD5B6B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בכסלו התשנ"ו (19 בדצמבר 1995); הצעת החוק ודברי הסבר פורסמו בהצעות</w:t>
                  </w:r>
                </w:p>
                <w:p w:rsidR="00FD5B6B" w:rsidRDefault="00FD5B6B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חוק 2434, מיום ל' בתשרי התשנ'ו (24 באוקטובר 1995), עמ' 132.</w:t>
                  </w:r>
                </w:p>
                <w:p w:rsidR="00FD5B6B" w:rsidRDefault="00FD5B6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 סיח התשכ"ג, עמ' 136; התשנ"ח, עמ' 178.</w:t>
                  </w:r>
                </w:p>
                <w:p w:rsidR="00FD5B6B" w:rsidRPr="00FD5B6B" w:rsidRDefault="00FD5B6B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2 סיח התשמ"ז, עמ' 68; חתשנ"ה, עמ' 378.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86" o:spid="_x0000_s1028" type="#_x0000_t202" style="position:absolute;left:0;text-align:left;margin-left:91.95pt;margin-top:517.4pt;width:106.7pt;height:30.9pt;z-index:6;mso-position-horizontal-relative:page;mso-position-vertical-relative:page" stroked="f">
            <v:textbox style="mso-next-textbox:#_x0000_s45986" inset="0,0,0,0">
              <w:txbxContent>
                <w:p w:rsidR="00FD5B6B" w:rsidRDefault="00FD5B6B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FD5B6B" w:rsidRDefault="00FD5B6B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87" o:spid="_x0000_s1029" type="#_x0000_t202" style="position:absolute;left:0;text-align:left;margin-left:208.15pt;margin-top:546.5pt;width:79.2pt;height:34.45pt;z-index:5;mso-position-horizontal-relative:page;mso-position-vertical-relative:page" stroked="f">
            <v:textbox style="mso-next-textbox:#_x0000_s45987" inset="0,0,0,0">
              <w:txbxContent>
                <w:p w:rsidR="00FD5B6B" w:rsidRDefault="00FD5B6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D5B6B" w:rsidRDefault="00FD5B6B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88" o:spid="_x0000_s1030" type="#_x0000_t202" style="position:absolute;left:0;text-align:left;margin-left:294.1pt;margin-top:518.2pt;width:74.05pt;height:33.65pt;z-index:4;mso-position-horizontal-relative:page;mso-position-vertical-relative:page" stroked="f">
            <v:textbox style="mso-next-textbox:#_x0000_s45988" inset="0,0,0,0">
              <w:txbxContent>
                <w:p w:rsidR="00FD5B6B" w:rsidRDefault="00FD5B6B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D5B6B" w:rsidRDefault="00FD5B6B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89" o:spid="_x0000_s1031" type="#_x0000_t202" style="position:absolute;left:0;text-align:left;margin-left:385.4pt;margin-top:543.95pt;width:75.05pt;height:38.8pt;z-index:3;mso-position-horizontal-relative:page;mso-position-vertical-relative:page" stroked="f">
            <v:textbox style="mso-next-textbox:#_x0000_s45989" inset="0,0,0,0">
              <w:txbxContent>
                <w:p w:rsidR="00FD5B6B" w:rsidRDefault="00FD5B6B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D5B6B" w:rsidRDefault="00FD5B6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90" o:spid="_x0000_s1032" type="#_x0000_t202" style="position:absolute;left:0;text-align:left;margin-left:82.45pt;margin-top:445.95pt;width:462.35pt;height:71.5pt;z-index:2;mso-position-horizontal-relative:page;mso-position-vertical-relative:page" stroked="f">
            <v:textbox style="mso-next-textbox:#_x0000_s459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3"/>
                    <w:gridCol w:w="1241"/>
                    <w:gridCol w:w="1441"/>
                  </w:tblGrid>
                  <w:tr w:rsidR="00FD5B6B" w:rsidRPr="00FD5B6B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D5B6B" w:rsidRP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13א לחוק פיצויי פיטורים, התשכ''ג- 1963 1,יבוא: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D5B6B" w:rsidRP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13ב</w:t>
                        </w:r>
                      </w:p>
                    </w:tc>
                  </w:tr>
                  <w:tr w:rsidR="00FD5B6B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3וב. על אף הוראות סעיף 13, לא יפחת שכר העבודה שיובא בחשבון</w:t>
                        </w:r>
                      </w:p>
                      <w:p w:rsid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חישוב פיצויי פיטורים, משיעור שכר המינימום כהגדרתו בסעיף 1</w:t>
                        </w:r>
                      </w:p>
                      <w:p w:rsid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שכר מינימום, התשמ"ז-1987 2, לפי היקף המשרה.*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-חישוב הפיצויים</w:t>
                        </w:r>
                      </w:p>
                      <w:p w:rsid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שכר</w:t>
                        </w:r>
                      </w:p>
                      <w:p w:rsidR="00FD5B6B" w:rsidRP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D5B6B" w:rsidRDefault="00FD5B6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D5B6B" w:rsidRDefault="00FD5B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91" o:spid="_x0000_s1033" type="#_x0000_t202" style="position:absolute;left:0;text-align:left;margin-left:141.05pt;margin-top:412.3pt;width:269.3pt;height:26.75pt;z-index:1;mso-position-horizontal-relative:page;mso-position-vertical-relative:page" stroked="f">
            <v:textbox style="mso-next-textbox:#_x0000_s45991" inset="0,0,0,0">
              <w:txbxContent>
                <w:p w:rsidR="00FD5B6B" w:rsidRPr="00FD5B6B" w:rsidRDefault="00FD5B6B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פיצויי פיטורים (תיקון מס' 17), התשנ"ו-1995*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5B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43FF4F-13AE-49E0-8072-B312F5FE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5B6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2008-04-07T10:00:00Z</dcterms:created>
  <dcterms:modified xsi:type="dcterms:W3CDTF">2008-04-07T10:00:00Z</dcterms:modified>
</cp:coreProperties>
</file>