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3C00" w:rsidRDefault="00893C00">
      <w:pPr>
        <w:rPr>
          <w:rtl/>
        </w:rPr>
      </w:pPr>
    </w:p>
    <w:p w:rsidR="00893C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3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331" inset="0,0,0,0">
              <w:txbxContent>
                <w:p w:rsidR="00893C00" w:rsidRDefault="00893C00">
                  <w:r>
                    <w:rPr>
                      <w:rtl/>
                    </w:rPr>
                    <w:t>273                                         ספר החוקים 1477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2" o:spid="_x0000_s1026" type="#_x0000_t202" style="position:absolute;left:0;text-align:left;margin-left:334.95pt;margin-top:725pt;width:213.45pt;height:28.5pt;z-index:8;mso-position-horizontal-relative:page;mso-position-vertical-relative:page" stroked="f">
            <v:textbox style="mso-next-textbox:#_x0000_s46332" inset="0,0,0,0">
              <w:txbxContent>
                <w:p w:rsidR="00893C00" w:rsidRDefault="00893C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33" o:spid="_x0000_s1027" type="#_x0000_t202" style="position:absolute;left:0;text-align:left;margin-left:143.9pt;margin-top:635.5pt;width:393.45pt;height:50.7pt;z-index:7;mso-position-horizontal-relative:page;mso-position-vertical-relative:page" stroked="f">
            <v:textbox style="mso-next-textbox:#_x0000_s46333" inset="0,0,0,0">
              <w:txbxContent>
                <w:p w:rsidR="00893C00" w:rsidRDefault="00893C0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י'ז באב התשנ'ד (25 ביולי 1994); הצעת החוק ודברי הסבר פורסמו בהצעות חוק 2177, מיום</w:t>
                  </w:r>
                </w:p>
                <w:p w:rsidR="00893C00" w:rsidRDefault="00893C00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י'ב באייר התשנ"ג (5 במאי 1993), עמ' 134.</w:t>
                  </w:r>
                </w:p>
                <w:p w:rsidR="00893C00" w:rsidRDefault="00893C00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 ס"ח התשכ''ח, עמ' 108; התשנ"ד, עמ' 257.</w:t>
                  </w:r>
                </w:p>
                <w:p w:rsidR="00893C00" w:rsidRPr="00893C00" w:rsidRDefault="00893C0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2 סיח התשי''ט, עמי 726; התש"ן, עמי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4" o:spid="_x0000_s1028" type="#_x0000_t202" style="position:absolute;left:0;text-align:left;margin-left:244.5pt;margin-top:587.4pt;width:98.2pt;height:24.95pt;z-index:6;mso-position-horizontal-relative:page;mso-position-vertical-relative:page" stroked="f">
            <v:textbox style="mso-next-textbox:#_x0000_s46334" inset="0,0,0,0">
              <w:txbxContent>
                <w:p w:rsidR="00893C00" w:rsidRDefault="00893C0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93C00" w:rsidRDefault="00893C00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5" o:spid="_x0000_s1029" type="#_x0000_t202" style="position:absolute;left:0;text-align:left;margin-left:333.95pt;margin-top:556.3pt;width:96.45pt;height:30.9pt;z-index:5;mso-position-horizontal-relative:page;mso-position-vertical-relative:page" stroked="f">
            <v:textbox style="mso-next-textbox:#_x0000_s46335" inset="0,0,0,0">
              <w:txbxContent>
                <w:p w:rsidR="00893C00" w:rsidRDefault="00893C0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93C00" w:rsidRDefault="00893C0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6" o:spid="_x0000_s1030" type="#_x0000_t202" style="position:absolute;left:0;text-align:left;margin-left:438.3pt;margin-top:584.65pt;width:80pt;height:33.65pt;z-index:4;mso-position-horizontal-relative:page;mso-position-vertical-relative:page" stroked="f">
            <v:textbox style="mso-next-textbox:#_x0000_s46336" inset="0,0,0,0">
              <w:txbxContent>
                <w:p w:rsidR="00893C00" w:rsidRDefault="00893C0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3C00" w:rsidRDefault="00893C00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7" o:spid="_x0000_s1031" type="#_x0000_t202" style="position:absolute;left:0;text-align:left;margin-left:129.25pt;margin-top:551.95pt;width:142.75pt;height:31.1pt;z-index:3;mso-position-horizontal-relative:page;mso-position-vertical-relative:page" stroked="f">
            <v:textbox style="mso-next-textbox:#_x0000_s46337" inset="0,0,0,0">
              <w:txbxContent>
                <w:p w:rsidR="00893C00" w:rsidRDefault="00893C00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893C00" w:rsidRDefault="00893C00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38" o:spid="_x0000_s1032" type="#_x0000_t202" style="position:absolute;left:0;text-align:left;margin-left:85.3pt;margin-top:472.75pt;width:456.2pt;height:77.4pt;z-index:2;mso-position-horizontal-relative:page;mso-position-vertical-relative:page" stroked="f">
            <v:textbox style="mso-next-textbox:#_x0000_s4633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8"/>
                    <w:gridCol w:w="7168"/>
                  </w:tblGrid>
                  <w:tr w:rsidR="00893C00" w:rsidRPr="00893C00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893C00" w:rsidRPr="00893C00" w:rsidRDefault="0089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893C00" w:rsidRDefault="0089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145 לחוק הביטוח הלאומי [נוסח משולב], התשכ'ח-11968, אחרי סעיף קטן (א)</w:t>
                        </w:r>
                      </w:p>
                      <w:p w:rsidR="00893C00" w:rsidRDefault="0089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93C00" w:rsidRDefault="0089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'(א1) תגמול המשולם לפי סעיף 20א(א) לחוק הנכים (תגמולים ושיקום), התשי"ט-1959</w:t>
                        </w:r>
                      </w:p>
                      <w:p w:rsidR="00893C00" w:rsidRPr="00893C00" w:rsidRDefault="0089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משולב]2, לא ייחשב כתגמול לענין סעיף קטן (א).''</w:t>
                        </w:r>
                      </w:p>
                    </w:tc>
                  </w:tr>
                </w:tbl>
                <w:p w:rsidR="00893C00" w:rsidRDefault="00893C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39" o:spid="_x0000_s1033" type="#_x0000_t202" style="position:absolute;left:0;text-align:left;margin-left:208.45pt;margin-top:448.6pt;width:290.05pt;height:23.95pt;z-index:1;mso-position-horizontal-relative:page;mso-position-vertical-relative:page" stroked="f">
            <v:textbox style="mso-next-textbox:#_x0000_s46339" inset="0,0,0,0">
              <w:txbxContent>
                <w:p w:rsidR="00893C00" w:rsidRPr="00893C00" w:rsidRDefault="00893C00">
                  <w:pPr>
                    <w:pStyle w:val="OCRStyle1"/>
                    <w:ind w:left="4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92),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3C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BBDC1F-5DF1-4323-A590-1B435134A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3C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