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E158E8" w:rsidRDefault="00E158E8">
      <w:pPr>
        <w:rPr>
          <w:rtl/>
        </w:rPr>
      </w:pPr>
    </w:p>
    <w:p w:rsidR="00E158E8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6527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46527" inset="0,0,0,0">
              <w:txbxContent>
                <w:p w:rsidR="00E158E8" w:rsidRDefault="00E158E8">
                  <w:r>
                    <w:rPr>
                      <w:rtl/>
                    </w:rPr>
                    <w:t>120                                         ספר החוקים 1423                 כ"ט בסיוון התשנ"ג 18.06.1993</w:t>
                  </w:r>
                </w:p>
              </w:txbxContent>
            </v:textbox>
            <w10:wrap anchorx="page" anchory="page"/>
          </v:shape>
        </w:pict>
      </w:r>
      <w:r>
        <w:pict>
          <v:shape id="_x0000_s46528" o:spid="_x0000_s1026" type="#_x0000_t202" style="position:absolute;left:0;text-align:left;margin-left:92.7pt;margin-top:280.95pt;width:387.3pt;height:74.85pt;z-index:6;mso-position-horizontal-relative:page;mso-position-vertical-relative:page" stroked="f">
            <v:textbox style="mso-next-textbox:#_x0000_s46528" inset="0,0,0,0">
              <w:txbxContent>
                <w:p w:rsidR="00E158E8" w:rsidRDefault="00E158E8">
                  <w:pPr>
                    <w:pStyle w:val="OCRStyle1"/>
                    <w:ind w:left="263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כ''ה בסיון התשנ''ג (14 ביוני 1993); הצעת החוק ודברי הסבר פורסמו בהצעות חוק 2179, מיום</w:t>
                  </w:r>
                </w:p>
                <w:p w:rsidR="00E158E8" w:rsidRDefault="00E158E8">
                  <w:pPr>
                    <w:pStyle w:val="OCRStyle1"/>
                    <w:ind w:left="508"/>
                    <w:rPr>
                      <w:rtl/>
                    </w:rPr>
                  </w:pPr>
                  <w:r>
                    <w:rPr>
                      <w:rtl/>
                    </w:rPr>
                    <w:t>ד' בסיון התשנ''ג (24 במאי 1993), עמ' 146.</w:t>
                  </w:r>
                </w:p>
                <w:p w:rsidR="00E158E8" w:rsidRPr="00E158E8" w:rsidRDefault="00E158E8">
                  <w:pPr>
                    <w:pStyle w:val="OCRStyle1"/>
                    <w:ind w:left="270"/>
                  </w:pPr>
                  <w:r>
                    <w:rPr>
                      <w:rtl/>
                    </w:rPr>
                    <w:t>1 ס''ח התשכ'ח, עמ' 197; התשמ''ו, עמ' 156.</w:t>
                  </w:r>
                </w:p>
              </w:txbxContent>
            </v:textbox>
            <w10:wrap anchorx="page" anchory="page"/>
          </v:shape>
        </w:pict>
      </w:r>
      <w:r>
        <w:pict>
          <v:shape id="_x0000_s46529" o:spid="_x0000_s1027" type="#_x0000_t202" style="position:absolute;left:0;text-align:left;margin-left:122.8pt;margin-top:215.4pt;width:78.4pt;height:31.1pt;z-index:5;mso-position-horizontal-relative:page;mso-position-vertical-relative:page" stroked="f">
            <v:textbox style="mso-next-textbox:#_x0000_s46529" inset="0,0,0,0">
              <w:txbxContent>
                <w:p w:rsidR="00E158E8" w:rsidRDefault="00E158E8">
                  <w:pPr>
                    <w:pStyle w:val="OCRStyle1"/>
                    <w:ind w:left="194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E158E8" w:rsidRDefault="00E158E8">
                  <w:pPr>
                    <w:pStyle w:val="OCRStyle1"/>
                    <w:ind w:left="234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6530" o:spid="_x0000_s1028" type="#_x0000_t202" style="position:absolute;left:0;text-align:left;margin-left:242.35pt;margin-top:241.35pt;width:85.35pt;height:34.45pt;z-index:4;mso-position-horizontal-relative:page;mso-position-vertical-relative:page" stroked="f">
            <v:textbox style="mso-next-textbox:#_x0000_s46530" inset="0,0,0,0">
              <w:txbxContent>
                <w:p w:rsidR="00E158E8" w:rsidRDefault="00E158E8">
                  <w:pPr>
                    <w:pStyle w:val="OCRStyle1"/>
                    <w:ind w:left="360"/>
                    <w:rPr>
                      <w:rtl/>
                    </w:rPr>
                  </w:pPr>
                  <w:r>
                    <w:rPr>
                      <w:rtl/>
                    </w:rPr>
                    <w:t>שבח וייס</w:t>
                  </w:r>
                </w:p>
                <w:p w:rsidR="00E158E8" w:rsidRDefault="00E158E8">
                  <w:pPr>
                    <w:pStyle w:val="OCRStyle1"/>
                    <w:ind w:left="220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6531" o:spid="_x0000_s1029" type="#_x0000_t202" style="position:absolute;left:0;text-align:left;margin-left:360.4pt;margin-top:213.85pt;width:86.9pt;height:30.9pt;z-index:3;mso-position-horizontal-relative:page;mso-position-vertical-relative:page" stroked="f">
            <v:textbox style="mso-next-textbox:#_x0000_s46531" inset="0,0,0,0">
              <w:txbxContent>
                <w:p w:rsidR="00E158E8" w:rsidRDefault="00E158E8">
                  <w:pPr>
                    <w:pStyle w:val="OCRStyle1"/>
                    <w:ind w:left="274"/>
                    <w:rPr>
                      <w:rtl/>
                    </w:rPr>
                  </w:pPr>
                  <w:r>
                    <w:rPr>
                      <w:rtl/>
                    </w:rPr>
                    <w:t>עזר וייצמן</w:t>
                  </w:r>
                </w:p>
                <w:p w:rsidR="00E158E8" w:rsidRDefault="00E158E8">
                  <w:pPr>
                    <w:pStyle w:val="OCRStyle1"/>
                    <w:ind w:left="382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6532" o:spid="_x0000_s1030" type="#_x0000_t202" style="position:absolute;left:0;text-align:left;margin-left:83.2pt;margin-top:119.6pt;width:465.7pt;height:90.3pt;z-index:2;mso-position-horizontal-relative:page;mso-position-vertical-relative:page" stroked="f">
            <v:textbox style="mso-next-textbox:#_x0000_s46532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856"/>
                    <w:gridCol w:w="1228"/>
                    <w:gridCol w:w="1382"/>
                  </w:tblGrid>
                  <w:tr w:rsidR="00E158E8" w:rsidRPr="00E158E8">
                    <w:trPr>
                      <w:jc w:val="right"/>
                    </w:trPr>
                    <w:tc>
                      <w:tcPr>
                        <w:tcW w:w="4184" w:type="pct"/>
                        <w:gridSpan w:val="2"/>
                      </w:tcPr>
                      <w:p w:rsidR="00E158E8" w:rsidRPr="00E158E8" w:rsidRDefault="00E158E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1. אחרי סעיף 29א לחוק משכן הכנסת ורחבתו, התשכ"ח- 11968, יבוא:</w:t>
                        </w:r>
                      </w:p>
                    </w:tc>
                    <w:tc>
                      <w:tcPr>
                        <w:tcW w:w="816" w:type="pct"/>
                      </w:tcPr>
                      <w:p w:rsidR="00E158E8" w:rsidRPr="00E158E8" w:rsidRDefault="00E158E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29ב</w:t>
                        </w:r>
                      </w:p>
                    </w:tc>
                  </w:tr>
                  <w:tr w:rsidR="00E158E8">
                    <w:trPr>
                      <w:jc w:val="right"/>
                    </w:trPr>
                    <w:tc>
                      <w:tcPr>
                        <w:tcW w:w="3459" w:type="pct"/>
                      </w:tcPr>
                      <w:p w:rsidR="00E158E8" w:rsidRDefault="00E158E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29ב. (א) יושב ראש הכנסת רשאי להסדיר בתקנות, באישור ועדת הכנסת,</w:t>
                        </w:r>
                      </w:p>
                      <w:p w:rsidR="00E158E8" w:rsidRDefault="00E158E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פעולתם של שדלנים במשכן הכנסת.</w:t>
                        </w:r>
                      </w:p>
                      <w:p w:rsidR="00E158E8" w:rsidRDefault="00E158E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בסעיף זה, "שדלן" - מי שנוקט, דרך עיסוק, בפעולות לשכנוע</w:t>
                        </w:r>
                      </w:p>
                      <w:p w:rsidR="00E158E8" w:rsidRDefault="00E158E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חבר הכנסת בענייני חקיקה והחלטות הכנסת."</w:t>
                        </w:r>
                      </w:p>
                    </w:tc>
                    <w:tc>
                      <w:tcPr>
                        <w:tcW w:w="725" w:type="pct"/>
                      </w:tcPr>
                      <w:p w:rsidR="00E158E8" w:rsidRDefault="00E158E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"הסדרת פעולתם</w:t>
                        </w:r>
                      </w:p>
                      <w:p w:rsidR="00E158E8" w:rsidRPr="00E158E8" w:rsidRDefault="00E158E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שדלנים</w:t>
                        </w:r>
                      </w:p>
                    </w:tc>
                    <w:tc>
                      <w:tcPr>
                        <w:tcW w:w="816" w:type="pct"/>
                      </w:tcPr>
                      <w:p w:rsidR="00E158E8" w:rsidRDefault="00E158E8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E158E8" w:rsidRDefault="00E158E8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6533" o:spid="_x0000_s1031" type="#_x0000_t202" style="position:absolute;left:0;text-align:left;margin-left:135.65pt;margin-top:83.75pt;width:291.85pt;height:31.1pt;z-index:1;mso-position-horizontal-relative:page;mso-position-vertical-relative:page" stroked="f">
            <v:textbox style="mso-next-textbox:#_x0000_s46533" inset="0,0,0,0">
              <w:txbxContent>
                <w:p w:rsidR="00E158E8" w:rsidRPr="00E158E8" w:rsidRDefault="00E158E8">
                  <w:pPr>
                    <w:pStyle w:val="OCRStyle1"/>
                    <w:ind w:left="180"/>
                    <w:rPr>
                      <w:sz w:val="20"/>
                      <w:szCs w:val="20"/>
                    </w:rPr>
                  </w:pPr>
                  <w:r>
                    <w:rPr>
                      <w:rtl/>
                    </w:rPr>
                    <w:t xml:space="preserve"> חוק משכן הכנסת ורחבתו (תיקון מס' 5), התשנ"ג - 1993*</w:t>
                  </w: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E158E8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158E8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ECAB9CDF-8DB7-463D-94DB-88FC350150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E158E8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2</cp:revision>
  <dcterms:created xsi:type="dcterms:W3CDTF">2008-04-07T09:02:00Z</dcterms:created>
  <dcterms:modified xsi:type="dcterms:W3CDTF">2008-04-07T09:02:00Z</dcterms:modified>
</cp:coreProperties>
</file>