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4C47" w:rsidRDefault="00CA4C47">
      <w:pPr>
        <w:rPr>
          <w:rtl/>
        </w:rPr>
      </w:pPr>
    </w:p>
    <w:p w:rsidR="00CA4C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2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6722" inset="0,0,0,0">
              <w:txbxContent>
                <w:p w:rsidR="00A653D5" w:rsidRDefault="00A653D5">
                  <w:r>
                    <w:rPr>
                      <w:rtl/>
                    </w:rPr>
                    <w:t>66                                          ספר החוקים 1611                י"ג באדר א' התשנ"ז 20.02.1997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23" o:spid="_x0000_s1026" type="#_x0000_t202" style="position:absolute;left:0;text-align:left;margin-left:90.55pt;margin-top:717.35pt;width:212.05pt;height:31.1pt;z-index:4;mso-position-horizontal-relative:page;mso-position-vertical-relative:page" stroked="f">
            <v:textbox style="mso-next-textbox:#_x0000_s46723" inset="0,0,0,0">
              <w:txbxContent>
                <w:p w:rsidR="00A653D5" w:rsidRDefault="00A653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24" o:spid="_x0000_s1027" type="#_x0000_t202" style="position:absolute;left:0;text-align:left;margin-left:78.3pt;margin-top:640.15pt;width:399.75pt;height:50.9pt;z-index:3;mso-position-horizontal-relative:page;mso-position-vertical-relative:page" stroked="f">
            <v:textbox style="mso-next-textbox:#_x0000_s46724" inset="0,0,0,0">
              <w:txbxContent>
                <w:p w:rsidR="00A653D5" w:rsidRDefault="00A653D5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באדר א' התשנ"ז (11 בפברואר 1997); הצעת החוק ודברי הסבר פורסמו בהצעות</w:t>
                  </w:r>
                </w:p>
                <w:p w:rsidR="00A653D5" w:rsidRDefault="00A653D5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חוק 2518, מיום י"ג באדר התשנ''ו (4 במרס 1996), עמ' 595.</w:t>
                  </w:r>
                </w:p>
                <w:p w:rsidR="00A653D5" w:rsidRPr="00CA4C47" w:rsidRDefault="00A653D5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ס'ח התשל'א,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25" o:spid="_x0000_s1028" type="#_x0000_t202" style="position:absolute;left:0;text-align:left;margin-left:87.6pt;margin-top:102.55pt;width:459.15pt;height:534.6pt;z-index:2;mso-position-horizontal-relative:page;mso-position-vertical-relative:page" stroked="f">
            <v:textbox style="mso-next-textbox:#_x0000_s467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8"/>
                    <w:gridCol w:w="1080"/>
                  </w:tblGrid>
                  <w:tr w:rsidR="00A653D5" w:rsidRPr="00CA4C47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זה, "גוף ציבורי" - גוף המנוי בתוספת.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הגלרות</w:t>
                        </w:r>
                      </w:p>
                    </w:tc>
                  </w:tr>
                  <w:tr w:rsidR="00A653D5" w:rsidRPr="00CA4C47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יפגע מעביד בתנאי עבודתו של עובד ולא יפטרו בשל כך בלבד שהגיש תלונה נגד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מעבידו או נגד עובד אחר של אותו מעביד, או שסייע לעובד אחר בקשר להגשת תלונה</w:t>
                        </w:r>
                      </w:p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</w:t>
                        </w:r>
                      </w:p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מתלונן</w:t>
                        </w:r>
                      </w:p>
                    </w:tc>
                  </w:tr>
                  <w:tr w:rsidR="00A653D5" w:rsidRPr="00CA4C47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לבית הדין האזורי לעבודה תהא סמכות ייחודית לדון בהליך בשל הפרת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 והוא רשאי -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לפסוק פיצויים אף אם לא נגרם נזק של ממון, בשיעור שייראה לו בנסיבות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צו מניעה או צו עשה, לרבות צו המבטל פיטורין, אם ראה שהענקת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בלבד לא תהא צודקת; בבואו ליתן צו לפי סעיף זה, יביא בית הרין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בחשבון, בין היתר, את השפעת הצו על יחסי העבודה במקום העבודה ואת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האפשרות שעובד אחר ייפגע; הוראות פסקה זו כוחן יפה על אף הוראות סעיף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ג(2) לחוק החוזים (תרופות בשל הפרת חוזה), התשל''א-1970 1.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(א)(2) יחולו על כל מעביד שהוא גוף ציבורי וכן על כל מעביד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גוף ציבורי המעסיק יותר מ-25 עובדים.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בית הדין האזורי לעבודה, כי תלונת התובע או כי התלונה שסייע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בהגשתה היתה תלונת שווא, בנסיבות שהתובע ידע על כך או שהיה עליו לדעת על כך, לא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בית הדין סעד לפי חוק זה; ואם מצא כי התלונה או כי הסיוע בהגשתה היו גם שלא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לב, רשאי בית הדין לחייב את התובע, לאחר שנתן לו הזדמנות סבירה לטעון את</w:t>
                        </w:r>
                      </w:p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לענין זה, בתשלום פיצויים למעביד או לעובד אחר שנגדו הוגשה התלונה.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שיפוט</w:t>
                        </w:r>
                      </w:p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ותרופות</w:t>
                        </w:r>
                      </w:p>
                    </w:tc>
                  </w:tr>
                  <w:tr w:rsidR="00A653D5" w:rsidRPr="00CA4C47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הגנות ותרופות לפי חוק זה יינתנו רק לגבי תלונה שהתקיימו בה כל אלה: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התלונה הוגשה בידי התובע בתום לב או שהתובע סייע בהגשת התלונה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לב;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התלונה הוגשה על הפרת חיקוק במקום העבודה, או על הפרת חיקוק בקשר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לעבודת העובד או בקשר לעסקו או לפעילותו של המעביד, ובגוף ציבורי - גם אם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 הוגשה על פגיעה בטוהר המידות או במינהל התקין-,</w:t>
                        </w:r>
                      </w:p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התלונה הוגשה לרשות המוסמכת לקבל תלונה או המוסמכת לבדוק או לחקור</w:t>
                        </w:r>
                      </w:p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המשמש נושא התלונה.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היקף ההגנה</w:t>
                        </w:r>
                      </w:p>
                    </w:tc>
                  </w:tr>
                  <w:tr w:rsidR="00A653D5" w:rsidRPr="00CA4C47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יזדקק בית-הדין האזורי לעבודה לתביעה בשל הפרת הוראות חוק זה שהוגשה</w:t>
                        </w:r>
                      </w:p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שחלפו שנים עשר חודשים מיום שנוצרה עילת התביעה.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</w:t>
                        </w:r>
                      </w:p>
                    </w:tc>
                  </w:tr>
                  <w:tr w:rsidR="00A653D5" w:rsidRPr="00CA4C47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העבודה והרווחה רשאי, באישור ועדת העבודה והרווחה של הכנסת, להוסיף</w:t>
                        </w:r>
                      </w:p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נוספים לרשימת הגופים הציבוריים שבתוספת.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A653D5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גופים</w:t>
                        </w:r>
                      </w:p>
                      <w:p w:rsidR="00A653D5" w:rsidRPr="00CA4C47" w:rsidRDefault="00A653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</w:t>
                        </w:r>
                      </w:p>
                    </w:tc>
                  </w:tr>
                </w:tbl>
                <w:p w:rsidR="00A653D5" w:rsidRDefault="00A653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26" o:spid="_x0000_s1029" type="#_x0000_t202" style="position:absolute;left:0;text-align:left;margin-left:118.7pt;margin-top:68.7pt;width:335.8pt;height:33.85pt;z-index:1;mso-position-horizontal-relative:page;mso-position-vertical-relative:page" stroked="f">
            <v:textbox style="mso-next-textbox:#_x0000_s46726" inset="0,0,0,0">
              <w:txbxContent>
                <w:p w:rsidR="00A653D5" w:rsidRDefault="00A653D5">
                  <w:pPr>
                    <w:pStyle w:val="OCRStyle1"/>
                    <w:ind w:left="20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הגנה על עובדים (חשיפת עבירות ופגיעה בטוהר המידות או</w:t>
                  </w:r>
                </w:p>
                <w:p w:rsidR="00A653D5" w:rsidRPr="00CA4C47" w:rsidRDefault="00A653D5">
                  <w:pPr>
                    <w:pStyle w:val="OCRStyle1"/>
                    <w:ind w:left="16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במינהל התקין), התשנ"ז-1997*</w:t>
                  </w:r>
                </w:p>
              </w:txbxContent>
            </v:textbox>
            <w10:wrap anchorx="page" anchory="page"/>
          </v:shape>
        </w:pict>
      </w:r>
    </w:p>
    <w:p w:rsidR="00402CA0" w:rsidRDefault="00402CA0">
      <w:pPr>
        <w:rPr>
          <w:rtl/>
        </w:rPr>
      </w:pPr>
      <w:r>
        <w:rPr>
          <w:rtl/>
        </w:rPr>
        <w:br w:type="page"/>
      </w:r>
    </w:p>
    <w:p w:rsidR="00402CA0" w:rsidRDefault="00000000">
      <w:pPr>
        <w:rPr>
          <w:rtl/>
        </w:rPr>
      </w:pPr>
      <w:r>
        <w:pict>
          <v:shape id="_x0000_s46727" o:spid="_x0000_s1030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6727" inset="0,0,0,0">
              <w:txbxContent>
                <w:p w:rsidR="00A653D5" w:rsidRDefault="00A653D5">
                  <w:r>
                    <w:rPr>
                      <w:rtl/>
                    </w:rPr>
                    <w:t>67                                          ספר החוקים 1611                י"ג באדר א' התשנ"ז 20.02.1997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28" o:spid="_x0000_s1031" type="#_x0000_t202" style="position:absolute;left:0;text-align:left;margin-left:326.1pt;margin-top:706.55pt;width:214.05pt;height:35.85pt;z-index:13;mso-position-horizontal-relative:page;mso-position-vertical-relative:page" stroked="f">
            <v:textbox style="mso-next-textbox:#_x0000_s46728" inset="0,0,0,0">
              <w:txbxContent>
                <w:p w:rsidR="00A653D5" w:rsidRDefault="00A653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729" o:spid="_x0000_s1032" type="#_x0000_t202" style="position:absolute;left:0;text-align:left;margin-left:391.05pt;margin-top:604.8pt;width:140.6pt;height:57.4pt;z-index:12;mso-position-horizontal-relative:page;mso-position-vertical-relative:page" stroked="f">
            <v:textbox style="mso-next-textbox:#_x0000_s46729" inset="0,0,0,0">
              <w:txbxContent>
                <w:p w:rsidR="00A653D5" w:rsidRDefault="00A653D5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2 ס"ח התשל"ה, עמ' 32.</w:t>
                  </w:r>
                </w:p>
                <w:p w:rsidR="00A653D5" w:rsidRDefault="00A653D5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ס-ח התש-ט, עמ' .287</w:t>
                  </w:r>
                </w:p>
                <w:p w:rsidR="00A653D5" w:rsidRDefault="00A653D5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ס-ח התשי"ח, עמ' 191.</w:t>
                  </w:r>
                </w:p>
                <w:p w:rsidR="00A653D5" w:rsidRPr="00402CA0" w:rsidRDefault="00A653D5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5 ס"ח התשנ"ד,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0" o:spid="_x0000_s1033" type="#_x0000_t202" style="position:absolute;left:0;text-align:left;margin-left:142.15pt;margin-top:521.85pt;width:114.05pt;height:37.6pt;z-index:11;mso-position-horizontal-relative:page;mso-position-vertical-relative:page" stroked="f">
            <v:textbox style="mso-next-textbox:#_x0000_s46730" inset="0,0,0,0">
              <w:txbxContent>
                <w:p w:rsidR="00A653D5" w:rsidRDefault="00A653D5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A653D5" w:rsidRDefault="00A653D5">
                  <w:pPr>
                    <w:pStyle w:val="OCRStyle2"/>
                    <w:ind w:left="5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1" o:spid="_x0000_s1034" type="#_x0000_t202" style="position:absolute;left:0;text-align:left;margin-left:261.95pt;margin-top:554.7pt;width:96.25pt;height:35.85pt;z-index:10;mso-position-horizontal-relative:page;mso-position-vertical-relative:page" stroked="f">
            <v:textbox style="mso-next-textbox:#_x0000_s46731" inset="0,0,0,0">
              <w:txbxContent>
                <w:p w:rsidR="00A653D5" w:rsidRDefault="00A653D5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653D5" w:rsidRDefault="00A653D5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2" o:spid="_x0000_s1035" type="#_x0000_t202" style="position:absolute;left:0;text-align:left;margin-left:344.9pt;margin-top:521.85pt;width:92.45pt;height:29.1pt;z-index:9;mso-position-horizontal-relative:page;mso-position-vertical-relative:page" stroked="f">
            <v:textbox style="mso-next-textbox:#_x0000_s46732" inset="0,0,0,0">
              <w:txbxContent>
                <w:p w:rsidR="00A653D5" w:rsidRDefault="00A653D5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653D5" w:rsidRDefault="00A653D5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3" o:spid="_x0000_s1036" type="#_x0000_t202" style="position:absolute;left:0;text-align:left;margin-left:444.9pt;margin-top:549.15pt;width:69.7pt;height:38.6pt;z-index:8;mso-position-horizontal-relative:page;mso-position-vertical-relative:page" stroked="f">
            <v:textbox style="mso-next-textbox:#_x0000_s46733" inset="0,0,0,0">
              <w:txbxContent>
                <w:p w:rsidR="00A653D5" w:rsidRDefault="00A653D5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653D5" w:rsidRDefault="00A653D5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4" o:spid="_x0000_s1037" type="#_x0000_t202" style="position:absolute;left:0;text-align:left;margin-left:123.35pt;margin-top:159.7pt;width:413.8pt;height:347.9pt;z-index:7;mso-position-horizontal-relative:page;mso-position-vertical-relative:page" stroked="f">
            <v:textbox style="mso-next-textbox:#_x0000_s46734" inset="0,0,0,0">
              <w:txbxContent>
                <w:p w:rsidR="00A653D5" w:rsidRDefault="00A653D5">
                  <w:pPr>
                    <w:pStyle w:val="OCRStyle2"/>
                    <w:ind w:left="33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A653D5" w:rsidRDefault="00A653D5">
                  <w:pPr>
                    <w:pStyle w:val="OCRStyle2"/>
                    <w:ind w:left="3326"/>
                    <w:rPr>
                      <w:rtl/>
                    </w:rPr>
                  </w:pPr>
                  <w:r>
                    <w:rPr>
                      <w:rtl/>
                    </w:rPr>
                    <w:t>(סעיף ו)</w:t>
                  </w:r>
                </w:p>
                <w:p w:rsidR="00A653D5" w:rsidRDefault="00A653D5">
                  <w:pPr>
                    <w:pStyle w:val="OCRStyle2"/>
                    <w:ind w:left="3254"/>
                    <w:rPr>
                      <w:rtl/>
                    </w:rPr>
                  </w:pPr>
                  <w:r>
                    <w:rPr>
                      <w:rtl/>
                    </w:rPr>
                    <w:t>גוף ציבורי</w:t>
                  </w:r>
                </w:p>
                <w:p w:rsidR="00A653D5" w:rsidRDefault="00A653D5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(ו) משרד ממשלתי ומוסדות המדינה;</w:t>
                  </w:r>
                </w:p>
                <w:p w:rsidR="00A653D5" w:rsidRDefault="00A653D5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(2) רשות מקומית וכל תאגיד שבשליטתה;</w:t>
                  </w:r>
                </w:p>
                <w:p w:rsidR="00A653D5" w:rsidRDefault="00A653D5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(3) תאגיד שהוקם בחוק וכן חברה ממשלתית כהגדרתה בחוק החברות הממשלתיות,</w:t>
                  </w:r>
                </w:p>
                <w:p w:rsidR="00A653D5" w:rsidRDefault="00A653D5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התשל-ה-1975 2;</w:t>
                  </w:r>
                </w:p>
                <w:p w:rsidR="00A653D5" w:rsidRDefault="00A653D5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(4) תאגיד שניהול עסקיו נתון לפיקוח או לביקורת על פי חוק שנתייחד לעסקים מהסוג</w:t>
                  </w:r>
                </w:p>
                <w:p w:rsidR="00A653D5" w:rsidRDefault="00A653D5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שהוא מנהל;</w:t>
                  </w:r>
                </w:p>
                <w:p w:rsidR="00A653D5" w:rsidRDefault="00A653D5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(5) מוסד חינוך מוכר, כהגדרתו בחוק לימוד חובה, התש"ט-1949 3;</w:t>
                  </w:r>
                </w:p>
                <w:p w:rsidR="00A653D5" w:rsidRDefault="00A653D5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(6) מוסד להשכלה גבוהה כמשמעותו בחוק המועצה להשכלה גבוהה, התשי''ח-1958 4;</w:t>
                  </w:r>
                </w:p>
                <w:p w:rsidR="00A653D5" w:rsidRDefault="00A653D5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(7) קופת חולים כהגדרתה בחוק ביטוח בריאות ממלכתי, התשנ"ד - 1994 5;</w:t>
                  </w:r>
                </w:p>
                <w:p w:rsidR="00A653D5" w:rsidRDefault="00A653D5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(8) ארגון עובדים וארגון מעבידים, וכן תאגיד שבשליטתם;</w:t>
                  </w:r>
                </w:p>
                <w:p w:rsidR="00A653D5" w:rsidRDefault="00A653D5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(9) ההסתדרות הציונית העולמית;</w:t>
                  </w:r>
                </w:p>
                <w:p w:rsidR="00A653D5" w:rsidRDefault="00A653D5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(10) הסוכנות היהודית לארץ-ישראל;</w:t>
                  </w:r>
                </w:p>
                <w:p w:rsidR="00A653D5" w:rsidRDefault="00A653D5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(11) הקרן הקיימת לישראל;</w:t>
                  </w:r>
                </w:p>
                <w:p w:rsidR="00A653D5" w:rsidRDefault="00A653D5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(12) קרן היסוד - המגבית המאוחדת לישראל;</w:t>
                  </w:r>
                </w:p>
                <w:p w:rsidR="00A653D5" w:rsidRDefault="00A653D5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(13) בל מפעל, מוסד, קרן או גוף אחר, שהממשלה משתתפת בהנהלתם.</w:t>
                  </w:r>
                </w:p>
                <w:p w:rsidR="00A653D5" w:rsidRPr="00402CA0" w:rsidRDefault="00A653D5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בתוספת זו, 'שליטה- - היכולת לכוון את פעילותו של התאגיד.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5" o:spid="_x0000_s1038" type="#_x0000_t202" style="position:absolute;left:0;text-align:left;margin-left:81.8pt;margin-top:63.45pt;width:457.4pt;height:92.45pt;z-index:6;mso-position-horizontal-relative:page;mso-position-vertical-relative:page" stroked="f">
            <v:textbox style="mso-next-textbox:#_x0000_s467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098"/>
                  </w:tblGrid>
                  <w:tr w:rsidR="00A653D5" w:rsidRPr="00402CA0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A653D5" w:rsidRPr="00402CA0" w:rsidRDefault="00A653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A653D5" w:rsidRPr="00402CA0" w:rsidRDefault="00A653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חוק זה אינן גורעות מהוראות כל דין אחר.</w:t>
                        </w:r>
                      </w:p>
                    </w:tc>
                  </w:tr>
                  <w:tr w:rsidR="00A653D5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A653D5" w:rsidRPr="00402CA0" w:rsidRDefault="00A653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המרינה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A653D5" w:rsidRDefault="00A653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לענין חוק זה דין המדינה כמעביד כדין כל מעביד אחר.</w:t>
                        </w:r>
                      </w:p>
                    </w:tc>
                  </w:tr>
                  <w:tr w:rsidR="00A653D5" w:rsidRPr="00402CA0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A653D5" w:rsidRPr="00402CA0" w:rsidRDefault="00A653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A653D5" w:rsidRDefault="00A653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העבודה והרווחה ממונה על ביצוע חוק זה והוא רשאי להתקין תקנות בכל ענין</w:t>
                        </w:r>
                      </w:p>
                      <w:p w:rsidR="00A653D5" w:rsidRPr="00402CA0" w:rsidRDefault="00A653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</w:tbl>
                <w:p w:rsidR="00A653D5" w:rsidRDefault="00A653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653D5" w:rsidRDefault="00A653D5">
      <w:pPr>
        <w:rPr>
          <w:rtl/>
        </w:rPr>
      </w:pPr>
      <w:r>
        <w:rPr>
          <w:rtl/>
        </w:rPr>
        <w:br w:type="page"/>
      </w:r>
    </w:p>
    <w:p w:rsidR="00A653D5" w:rsidRDefault="00000000">
      <w:pPr>
        <w:rPr>
          <w:rtl/>
        </w:rPr>
      </w:pPr>
      <w:r>
        <w:pict>
          <v:shape id="_x0000_s46736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6736" inset="0,0,0,0">
              <w:txbxContent>
                <w:p w:rsidR="00A653D5" w:rsidRDefault="00A653D5">
                  <w:r>
                    <w:rPr>
                      <w:rtl/>
                    </w:rPr>
                    <w:t>68                                          ספר החוקים 1611                י"ג באדר א' התשנ"ז 20.02.1997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7" o:spid="_x0000_s1040" type="#_x0000_t202" style="position:absolute;left:0;text-align:left;margin-left:89.75pt;margin-top:713.2pt;width:233.85pt;height:30.3pt;z-index:15;mso-position-horizontal-relative:page;mso-position-vertical-relative:page" stroked="f">
            <v:textbox style="mso-next-textbox:#_x0000_s46737" inset="0,0,0,0">
              <w:txbxContent>
                <w:p w:rsidR="00A653D5" w:rsidRDefault="00A653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4C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BD2F69-FF9B-4228-B972-E01F44FF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4C4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2CA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653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2008-04-07T10:19:00Z</dcterms:created>
  <dcterms:modified xsi:type="dcterms:W3CDTF">2008-04-07T10:19:00Z</dcterms:modified>
</cp:coreProperties>
</file>