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2E73" w:rsidRDefault="00032E73">
      <w:pPr>
        <w:rPr>
          <w:rtl/>
        </w:rPr>
      </w:pPr>
    </w:p>
    <w:p w:rsidR="00032E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85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856" inset="0,0,0,0">
              <w:txbxContent>
                <w:p w:rsidR="00032E73" w:rsidRDefault="00032E73">
                  <w:r>
                    <w:rPr>
                      <w:rtl/>
                    </w:rPr>
                    <w:t>90                                          ספר החוקים 1617                י"א באדר ב' התשנ"ז 20.03.1997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57" o:spid="_x0000_s1026" type="#_x0000_t202" style="position:absolute;left:0;text-align:left;margin-left:91.6pt;margin-top:389pt;width:389.25pt;height:73.25pt;z-index:7;mso-position-horizontal-relative:page;mso-position-vertical-relative:page" stroked="f">
            <v:textbox style="mso-next-textbox:#_x0000_s46857" inset="0,0,0,0">
              <w:txbxContent>
                <w:p w:rsidR="00032E73" w:rsidRDefault="00032E73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ב' באדר ב' התשנ'ז (11 במרס 1997); הצעת החוק ודברי הסבר פורסמו בהצעות חוק</w:t>
                  </w:r>
                </w:p>
                <w:p w:rsidR="00032E73" w:rsidRDefault="00032E73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2223, מיום ט-ו בכסלו התשנ''ד (29 באוקטובר 1993), עמ' 115.</w:t>
                  </w:r>
                </w:p>
                <w:p w:rsidR="00032E73" w:rsidRPr="00032E73" w:rsidRDefault="00032E73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י ס-ח התשי"ט, עמ' 276; התשנ"ו, עמ' .18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58" o:spid="_x0000_s1027" type="#_x0000_t202" style="position:absolute;left:0;text-align:left;margin-left:105.5pt;margin-top:317.5pt;width:74.85pt;height:37.05pt;z-index:6;mso-position-horizontal-relative:page;mso-position-vertical-relative:page" stroked="f">
            <v:textbox style="mso-next-textbox:#_x0000_s46858" inset="0,0,0,0">
              <w:txbxContent>
                <w:p w:rsidR="00032E73" w:rsidRDefault="00032E73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מרדכי</w:t>
                  </w:r>
                </w:p>
                <w:p w:rsidR="00032E73" w:rsidRDefault="00032E73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59" o:spid="_x0000_s1028" type="#_x0000_t202" style="position:absolute;left:0;text-align:left;margin-left:188.05pt;margin-top:341.65pt;width:96.45pt;height:33.45pt;z-index:5;mso-position-horizontal-relative:page;mso-position-vertical-relative:page" stroked="f">
            <v:textbox style="mso-next-textbox:#_x0000_s46859" inset="0,0,0,0">
              <w:txbxContent>
                <w:p w:rsidR="00032E73" w:rsidRDefault="00032E73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32E73" w:rsidRDefault="00032E73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60" o:spid="_x0000_s1029" type="#_x0000_t202" style="position:absolute;left:0;text-align:left;margin-left:294pt;margin-top:319.3pt;width:83.55pt;height:29.3pt;z-index:4;mso-position-horizontal-relative:page;mso-position-vertical-relative:page" stroked="f">
            <v:textbox style="mso-next-textbox:#_x0000_s46860" inset="0,0,0,0">
              <w:txbxContent>
                <w:p w:rsidR="00032E73" w:rsidRDefault="00032E73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32E73" w:rsidRDefault="00032E73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61" o:spid="_x0000_s1030" type="#_x0000_t202" style="position:absolute;left:0;text-align:left;margin-left:392.2pt;margin-top:342.45pt;width:69.7pt;height:34.45pt;z-index:3;mso-position-horizontal-relative:page;mso-position-vertical-relative:page" stroked="f">
            <v:textbox style="mso-next-textbox:#_x0000_s46861" inset="0,0,0,0">
              <w:txbxContent>
                <w:p w:rsidR="00032E73" w:rsidRDefault="00032E73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32E73" w:rsidRDefault="00032E73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62" o:spid="_x0000_s1031" type="#_x0000_t202" style="position:absolute;left:0;text-align:left;margin-left:81.35pt;margin-top:92.8pt;width:470.05pt;height:222.15pt;z-index:2;mso-position-horizontal-relative:page;mso-position-vertical-relative:page" stroked="f">
            <v:textbox style="mso-next-textbox:#_x0000_s4686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267"/>
                  </w:tblGrid>
                  <w:tr w:rsidR="00032E73" w:rsidRPr="00032E73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032E73" w:rsidRDefault="00032E7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ו לחוק הנכים (תגמולים ושיקום) התשי"ט-1959 [נוסח משולב]1 (להלן -</w:t>
                        </w:r>
                      </w:p>
                      <w:p w:rsidR="00032E73" w:rsidRDefault="00032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בהגדרה '"בן משפחה של נכה" בפסקה 2, במקום "18 שנה'' יבוא "21 שנה''</w:t>
                        </w:r>
                      </w:p>
                      <w:p w:rsidR="00032E73" w:rsidRPr="00032E73" w:rsidRDefault="00032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'לגיל 18" יבוא 'לגיל 21."</w:t>
                        </w:r>
                      </w:p>
                    </w:tc>
                    <w:tc>
                      <w:tcPr>
                        <w:tcW w:w="741" w:type="pct"/>
                      </w:tcPr>
                      <w:p w:rsidR="00032E73" w:rsidRPr="00032E73" w:rsidRDefault="00032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032E73" w:rsidRPr="00032E73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032E73" w:rsidRDefault="00032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7ג לחוק העיקרי, בסעיף קטן (א), הסיפה החל במילים "ובלבד שסך כל</w:t>
                        </w:r>
                      </w:p>
                      <w:p w:rsidR="00032E73" w:rsidRPr="00032E73" w:rsidRDefault="00032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תגמוליו" - תימחק.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032E73" w:rsidRPr="00032E73" w:rsidRDefault="00032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7ג</w:t>
                        </w:r>
                      </w:p>
                    </w:tc>
                  </w:tr>
                  <w:tr w:rsidR="00032E73" w:rsidRPr="00032E73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032E73" w:rsidRDefault="00032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45 לחוק העיקרי -</w:t>
                        </w:r>
                      </w:p>
                      <w:p w:rsidR="00032E73" w:rsidRDefault="00032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(א1), אחרי "בסעיף קטן (א)" יבוא "על נכה שדרגת נכותו פחותה</w:t>
                        </w:r>
                      </w:p>
                      <w:p w:rsidR="00032E73" w:rsidRDefault="00032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מ- 100% וכן";</w:t>
                        </w:r>
                      </w:p>
                      <w:p w:rsidR="00032E73" w:rsidRDefault="00032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032E73" w:rsidRDefault="00032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 1)בתקנות לפי סעיף קטן (ב) יכול שייקבעו הוראות שונות לגבי נכים בעלי</w:t>
                        </w:r>
                      </w:p>
                      <w:p w:rsidR="00032E73" w:rsidRPr="00032E73" w:rsidRDefault="00032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דרגות נכות שונות, כפי שיקבע השר"</w:t>
                        </w:r>
                      </w:p>
                    </w:tc>
                    <w:tc>
                      <w:tcPr>
                        <w:tcW w:w="741" w:type="pct"/>
                      </w:tcPr>
                      <w:p w:rsidR="00032E73" w:rsidRPr="00032E73" w:rsidRDefault="00032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</w:tr>
                  <w:tr w:rsidR="00032E73" w:rsidRPr="00032E73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032E73" w:rsidRPr="00032E73" w:rsidRDefault="00032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סעיף 5(1) יעמוד בתוקפו שנה מיום פרסומו של חוק זה.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032E73" w:rsidRPr="00032E73" w:rsidRDefault="00032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032E73" w:rsidRDefault="00032E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863" o:spid="_x0000_s1032" type="#_x0000_t202" style="position:absolute;left:0;text-align:left;margin-left:121.9pt;margin-top:69.6pt;width:326.1pt;height:20.6pt;z-index:1;mso-position-horizontal-relative:page;mso-position-vertical-relative:page" stroked="f">
            <v:textbox style="mso-next-textbox:#_x0000_s46863" inset="0,0,0,0">
              <w:txbxContent>
                <w:p w:rsidR="00032E73" w:rsidRPr="00032E73" w:rsidRDefault="00032E73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הנכים (תגמולים ושיקום) (תיקון מס' 18),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32E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CCAF76-8E0D-4AE8-85E3-449A7A6C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32E7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2008-04-07T10:20:00Z</dcterms:created>
  <dcterms:modified xsi:type="dcterms:W3CDTF">2008-04-07T10:20:00Z</dcterms:modified>
</cp:coreProperties>
</file>