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1674" w:rsidRDefault="002A1674">
      <w:pPr>
        <w:rPr>
          <w:rtl/>
        </w:rPr>
      </w:pPr>
    </w:p>
    <w:p w:rsidR="002A16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89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894" inset="0,0,0,0">
              <w:txbxContent>
                <w:p w:rsidR="002A1674" w:rsidRDefault="002A1674">
                  <w:r>
                    <w:rPr>
                      <w:rtl/>
                    </w:rPr>
                    <w:t>96                                          ספר החוקים 1619                כ"ג באדר ב' התשנ"ז 01.04.1997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95" o:spid="_x0000_s1026" type="#_x0000_t202" style="position:absolute;left:0;text-align:left;margin-left:93.8pt;margin-top:303.35pt;width:389.45pt;height:45.35pt;z-index:7;mso-position-horizontal-relative:page;mso-position-vertical-relative:page" stroked="f">
            <v:textbox style="mso-next-textbox:#_x0000_s46895" inset="0,0,0,0">
              <w:txbxContent>
                <w:p w:rsidR="002A1674" w:rsidRDefault="002A1674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באדר ב' התשנ"ז (25 במרס 1997); הצעת החוק ודברי הסבר פורסמו בהצעות חוק</w:t>
                  </w:r>
                </w:p>
                <w:p w:rsidR="002A1674" w:rsidRDefault="002A1674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2568, מיום כ"א בטבת התשנ"ז (51 בדצמבר 1996), עמ' 97.</w:t>
                  </w:r>
                </w:p>
                <w:p w:rsidR="002A1674" w:rsidRDefault="002A1674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חרדש 9, עמ' 256; ס"ח התשנ"ז, עמ' .42</w:t>
                  </w:r>
                </w:p>
                <w:p w:rsidR="002A1674" w:rsidRPr="002A1674" w:rsidRDefault="002A1674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2 ס"ח התשל"ח, 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96" o:spid="_x0000_s1027" type="#_x0000_t202" style="position:absolute;left:0;text-align:left;margin-left:107.85pt;margin-top:234.45pt;width:78.4pt;height:28.3pt;z-index:6;mso-position-horizontal-relative:page;mso-position-vertical-relative:page" stroked="f">
            <v:textbox style="mso-next-textbox:#_x0000_s46896" inset="0,0,0,0">
              <w:txbxContent>
                <w:p w:rsidR="002A1674" w:rsidRDefault="002A1674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2A1674" w:rsidRDefault="002A1674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97" o:spid="_x0000_s1028" type="#_x0000_t202" style="position:absolute;left:0;text-align:left;margin-left:193.75pt;margin-top:260pt;width:90.5pt;height:39.6pt;z-index:5;mso-position-horizontal-relative:page;mso-position-vertical-relative:page" stroked="f">
            <v:textbox style="mso-next-textbox:#_x0000_s46897" inset="0,0,0,0">
              <w:txbxContent>
                <w:p w:rsidR="002A1674" w:rsidRDefault="002A1674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A1674" w:rsidRDefault="002A1674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98" o:spid="_x0000_s1029" type="#_x0000_t202" style="position:absolute;left:0;text-align:left;margin-left:297.5pt;margin-top:232.65pt;width:98pt;height:36.85pt;z-index:4;mso-position-horizontal-relative:page;mso-position-vertical-relative:page" stroked="f">
            <v:textbox style="mso-next-textbox:#_x0000_s46898" inset="0,0,0,0">
              <w:txbxContent>
                <w:p w:rsidR="002A1674" w:rsidRDefault="002A1674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A1674" w:rsidRDefault="002A1674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99" o:spid="_x0000_s1030" type="#_x0000_t202" style="position:absolute;left:0;text-align:left;margin-left:400.3pt;margin-top:260pt;width:71.7pt;height:36.85pt;z-index:3;mso-position-horizontal-relative:page;mso-position-vertical-relative:page" stroked="f">
            <v:textbox style="mso-next-textbox:#_x0000_s46899" inset="0,0,0,0">
              <w:txbxContent>
                <w:p w:rsidR="002A1674" w:rsidRDefault="002A1674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A1674" w:rsidRDefault="002A1674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00" o:spid="_x0000_s1031" type="#_x0000_t202" style="position:absolute;left:0;text-align:left;margin-left:92.8pt;margin-top:95.05pt;width:461.15pt;height:135.65pt;z-index:2;mso-position-horizontal-relative:page;mso-position-vertical-relative:page" stroked="f">
            <v:textbox style="mso-next-textbox:#_x0000_s4690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5"/>
                    <w:gridCol w:w="1048"/>
                    <w:gridCol w:w="1343"/>
                  </w:tblGrid>
                  <w:tr w:rsidR="002A1674" w:rsidRPr="002A1674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2A1674" w:rsidRPr="002A1674" w:rsidRDefault="002A16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המועצות המקומיות 1, במקום סעיף 23 יבוא:</w:t>
                        </w:r>
                      </w:p>
                    </w:tc>
                    <w:tc>
                      <w:tcPr>
                        <w:tcW w:w="801" w:type="pct"/>
                      </w:tcPr>
                      <w:p w:rsidR="002A1674" w:rsidRPr="002A1674" w:rsidRDefault="002A16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23</w:t>
                        </w:r>
                      </w:p>
                    </w:tc>
                  </w:tr>
                  <w:tr w:rsidR="002A1674">
                    <w:trPr>
                      <w:jc w:val="right"/>
                    </w:trPr>
                    <w:tc>
                      <w:tcPr>
                        <w:tcW w:w="3574" w:type="pct"/>
                      </w:tcPr>
                      <w:p w:rsidR="002A1674" w:rsidRDefault="002A16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ג2. העובר על הוראה שבחוק עזר, דינו - קנס של 2,600 שקלים חדשים,</w:t>
                        </w:r>
                      </w:p>
                      <w:p w:rsidR="002A1674" w:rsidRDefault="002A16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ובעבירה נמשכת - קנס נוסף של 120 שקלים חדשים לכל יום שבו נמשכת</w:t>
                        </w:r>
                      </w:p>
                      <w:p w:rsidR="002A1674" w:rsidRDefault="002A16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לאחר שנמסרה הודעה עליה בכתב מטעם ראש המועצה, או</w:t>
                        </w:r>
                      </w:p>
                      <w:p w:rsidR="002A1674" w:rsidRDefault="002A16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הרשעה."</w:t>
                        </w:r>
                      </w:p>
                    </w:tc>
                    <w:tc>
                      <w:tcPr>
                        <w:tcW w:w="625" w:type="pct"/>
                      </w:tcPr>
                      <w:p w:rsidR="002A1674" w:rsidRPr="002A1674" w:rsidRDefault="002A16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  <w:tc>
                      <w:tcPr>
                        <w:tcW w:w="801" w:type="pct"/>
                      </w:tcPr>
                      <w:p w:rsidR="002A1674" w:rsidRDefault="002A16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A1674" w:rsidRPr="002A1674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2A1674" w:rsidRDefault="002A16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חוק זה יחולו גם על המועצות המקומיות שבאזור, כהגדרתו בחוק להארכת</w:t>
                        </w:r>
                      </w:p>
                      <w:p w:rsidR="002A1674" w:rsidRDefault="002A16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תוקפן של תקנות שעת-חירום (יהודה והשומרון וחבל עזה - שיפוט בעבירות ועזרה</w:t>
                        </w:r>
                      </w:p>
                      <w:p w:rsidR="002A1674" w:rsidRPr="002A1674" w:rsidRDefault="002A16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משפטית), התשל'ח-977ו2.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2A1674" w:rsidRPr="002A1674" w:rsidRDefault="002A16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2A1674" w:rsidRDefault="002A16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901" o:spid="_x0000_s1032" type="#_x0000_t202" style="position:absolute;left:0;text-align:left;margin-left:118.35pt;margin-top:67.55pt;width:351.65pt;height:22.75pt;z-index:1;mso-position-horizontal-relative:page;mso-position-vertical-relative:page" stroked="f">
            <v:textbox style="mso-next-textbox:#_x0000_s46901" inset="0,0,0,0">
              <w:txbxContent>
                <w:p w:rsidR="002A1674" w:rsidRPr="002A1674" w:rsidRDefault="002A1674">
                  <w:pPr>
                    <w:pStyle w:val="OCRStyle1"/>
                    <w:ind w:left="3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המועצות המקומיות (מס' 21),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A16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3DA9E3-1649-435E-BDB2-6D6CB8C9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A167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2008-04-07T10:20:00Z</dcterms:created>
  <dcterms:modified xsi:type="dcterms:W3CDTF">2008-04-07T10:20:00Z</dcterms:modified>
</cp:coreProperties>
</file>